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40D0E" w14:textId="74509537" w:rsidR="00F95AC3" w:rsidRPr="00CE0EAD" w:rsidRDefault="00F95AC3" w:rsidP="00F95AC3">
      <w:pPr>
        <w:pStyle w:val="Subtitle"/>
        <w:rPr>
          <w:rStyle w:val="BookTitle"/>
          <w:i w:val="0"/>
        </w:rPr>
      </w:pPr>
      <w:r w:rsidRPr="00CE0EAD">
        <w:rPr>
          <w:rStyle w:val="BookTitle"/>
          <w:i w:val="0"/>
        </w:rPr>
        <w:t>3GPP TSG RAN WG1 Meeting #</w:t>
      </w:r>
      <w:r>
        <w:rPr>
          <w:rStyle w:val="BookTitle"/>
          <w:i w:val="0"/>
        </w:rPr>
        <w:t>10</w:t>
      </w:r>
      <w:r w:rsidR="00C712E0">
        <w:rPr>
          <w:rStyle w:val="BookTitle"/>
          <w:i w:val="0"/>
        </w:rPr>
        <w:t>2</w:t>
      </w:r>
      <w:r>
        <w:rPr>
          <w:rStyle w:val="BookTitle"/>
          <w:i w:val="0"/>
        </w:rPr>
        <w:t xml:space="preserve">-e     </w:t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="00D94180">
        <w:rPr>
          <w:rStyle w:val="BookTitle"/>
          <w:i w:val="0"/>
        </w:rPr>
        <w:t xml:space="preserve">          </w:t>
      </w:r>
      <w:r w:rsidRPr="00CE0EAD">
        <w:rPr>
          <w:rStyle w:val="BookTitle"/>
          <w:i w:val="0"/>
        </w:rPr>
        <w:t>R1-</w:t>
      </w:r>
      <w:r w:rsidR="005A01BD" w:rsidRPr="005A01BD">
        <w:rPr>
          <w:rStyle w:val="BookTitle"/>
          <w:i w:val="0"/>
        </w:rPr>
        <w:t>200682</w:t>
      </w:r>
      <w:r w:rsidR="005A01BD">
        <w:rPr>
          <w:rStyle w:val="BookTitle"/>
          <w:i w:val="0"/>
        </w:rPr>
        <w:t>6</w:t>
      </w:r>
      <w:bookmarkStart w:id="0" w:name="_GoBack"/>
      <w:bookmarkEnd w:id="0"/>
    </w:p>
    <w:p w14:paraId="2B659D04" w14:textId="77777777" w:rsidR="00F95AC3" w:rsidRPr="00CE0EAD" w:rsidRDefault="00C712E0" w:rsidP="00F95AC3">
      <w:pPr>
        <w:pStyle w:val="Subtitle"/>
        <w:rPr>
          <w:rStyle w:val="BookTitle"/>
          <w:i w:val="0"/>
        </w:rPr>
      </w:pPr>
      <w:r>
        <w:rPr>
          <w:rStyle w:val="BookTitle"/>
          <w:i w:val="0"/>
        </w:rPr>
        <w:t>1</w:t>
      </w:r>
      <w:r w:rsidR="00E91B5F">
        <w:rPr>
          <w:rStyle w:val="BookTitle"/>
          <w:i w:val="0"/>
        </w:rPr>
        <w:t>7</w:t>
      </w:r>
      <w:r w:rsidR="00F95AC3" w:rsidRPr="00CE0EAD">
        <w:rPr>
          <w:rStyle w:val="BookTitle"/>
          <w:i w:val="0"/>
          <w:vertAlign w:val="superscript"/>
        </w:rPr>
        <w:t>th</w:t>
      </w:r>
      <w:r w:rsidR="00F95AC3" w:rsidRPr="00CE0EAD">
        <w:rPr>
          <w:rStyle w:val="BookTitle"/>
          <w:i w:val="0"/>
        </w:rPr>
        <w:t xml:space="preserve"> </w:t>
      </w:r>
      <w:r>
        <w:rPr>
          <w:rStyle w:val="BookTitle"/>
          <w:i w:val="0"/>
        </w:rPr>
        <w:t>Aug</w:t>
      </w:r>
      <w:r w:rsidR="00F95AC3" w:rsidRPr="00CE0EAD">
        <w:rPr>
          <w:rStyle w:val="BookTitle"/>
          <w:i w:val="0"/>
        </w:rPr>
        <w:t xml:space="preserve">– </w:t>
      </w:r>
      <w:r w:rsidR="00E91B5F">
        <w:rPr>
          <w:rStyle w:val="BookTitle"/>
          <w:i w:val="0"/>
        </w:rPr>
        <w:t>28</w:t>
      </w:r>
      <w:r w:rsidR="00F95AC3">
        <w:rPr>
          <w:rStyle w:val="BookTitle"/>
          <w:i w:val="0"/>
          <w:vertAlign w:val="superscript"/>
        </w:rPr>
        <w:t>th</w:t>
      </w:r>
      <w:r w:rsidR="00F95AC3" w:rsidRPr="00CE0EAD">
        <w:rPr>
          <w:rStyle w:val="BookTitle"/>
          <w:i w:val="0"/>
        </w:rPr>
        <w:t xml:space="preserve"> </w:t>
      </w:r>
      <w:r w:rsidR="00E91B5F">
        <w:rPr>
          <w:rStyle w:val="BookTitle"/>
          <w:i w:val="0"/>
        </w:rPr>
        <w:t>August</w:t>
      </w:r>
      <w:r w:rsidR="00F95AC3" w:rsidRPr="00CE0EAD">
        <w:rPr>
          <w:rStyle w:val="BookTitle"/>
          <w:i w:val="0"/>
        </w:rPr>
        <w:t xml:space="preserve"> 20</w:t>
      </w:r>
      <w:r w:rsidR="00F95AC3">
        <w:rPr>
          <w:rStyle w:val="BookTitle"/>
          <w:i w:val="0"/>
        </w:rPr>
        <w:t>20</w:t>
      </w:r>
    </w:p>
    <w:p w14:paraId="74456E81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Agenda Item:</w:t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="00706194">
        <w:rPr>
          <w:rStyle w:val="SubtitleChar"/>
        </w:rPr>
        <w:t>8.10.</w:t>
      </w:r>
      <w:r w:rsidR="00652637">
        <w:rPr>
          <w:rStyle w:val="SubtitleChar"/>
        </w:rPr>
        <w:t>2</w:t>
      </w:r>
    </w:p>
    <w:p w14:paraId="26AD32B7" w14:textId="77777777" w:rsidR="00806EAC" w:rsidRPr="00131C4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BookTitle"/>
        </w:rPr>
      </w:pPr>
      <w:r w:rsidRPr="00AF0340">
        <w:rPr>
          <w:rStyle w:val="BookTitle"/>
        </w:rPr>
        <w:t>Source:</w:t>
      </w:r>
      <w:r w:rsidRPr="00AF0340">
        <w:rPr>
          <w:rStyle w:val="BookTitl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 w:rsidRPr="002B4616">
        <w:rPr>
          <w:rStyle w:val="SubtitleChar"/>
        </w:rPr>
        <w:t>Qualcomm Incorporated</w:t>
      </w:r>
    </w:p>
    <w:p w14:paraId="5D7F6707" w14:textId="77777777" w:rsidR="00806EAC" w:rsidRPr="002B4616" w:rsidRDefault="00806EAC" w:rsidP="00652637">
      <w:pPr>
        <w:pBdr>
          <w:top w:val="single" w:sz="4" w:space="1" w:color="auto"/>
          <w:bottom w:val="single" w:sz="4" w:space="1" w:color="auto"/>
        </w:pBdr>
        <w:ind w:left="1700" w:hanging="1700"/>
        <w:rPr>
          <w:rStyle w:val="SubtitleChar"/>
        </w:rPr>
      </w:pPr>
      <w:r w:rsidRPr="00AF0340">
        <w:rPr>
          <w:rStyle w:val="BookTitle"/>
        </w:rPr>
        <w:t xml:space="preserve">Title: </w:t>
      </w:r>
      <w:r w:rsidRPr="00AF0340">
        <w:rPr>
          <w:rStyle w:val="BookTitle"/>
        </w:rPr>
        <w:tab/>
      </w:r>
      <w:r w:rsidRPr="00806EAC">
        <w:rPr>
          <w:rStyle w:val="IntenseReference"/>
        </w:rPr>
        <w:tab/>
      </w:r>
      <w:r w:rsidR="00652637" w:rsidRPr="00652637">
        <w:rPr>
          <w:rStyle w:val="SubtitleChar"/>
        </w:rPr>
        <w:t>On enhancements for simultaneous operation of IAB-node's child and parent links</w:t>
      </w:r>
    </w:p>
    <w:p w14:paraId="7BA05B7E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Document for:</w:t>
      </w:r>
      <w:r w:rsidRPr="00806EAC">
        <w:rPr>
          <w:rStyle w:val="IntenseReference"/>
        </w:rPr>
        <w:tab/>
      </w:r>
      <w:r w:rsidR="00AF0340">
        <w:rPr>
          <w:rStyle w:val="IntenseReference"/>
        </w:rPr>
        <w:tab/>
      </w:r>
      <w:r w:rsidRPr="002B4616">
        <w:rPr>
          <w:rStyle w:val="SubtitleChar"/>
        </w:rPr>
        <w:t>Discussion and decision</w:t>
      </w:r>
    </w:p>
    <w:p w14:paraId="51E2FCD0" w14:textId="77777777" w:rsidR="00806EAC" w:rsidRDefault="00806EAC" w:rsidP="00013C33">
      <w:pPr>
        <w:pStyle w:val="Heading3"/>
      </w:pPr>
      <w:r>
        <w:t>Introduction</w:t>
      </w:r>
    </w:p>
    <w:p w14:paraId="68EA8DC2" w14:textId="3CFB6F66" w:rsidR="005A62B1" w:rsidRDefault="007D57E3" w:rsidP="00B65785">
      <w:r>
        <w:t xml:space="preserve">This contribution </w:t>
      </w:r>
      <w:r w:rsidR="00E856B6">
        <w:t xml:space="preserve">provides </w:t>
      </w:r>
      <w:r w:rsidR="006E52F1">
        <w:t>our</w:t>
      </w:r>
      <w:r w:rsidR="00E856B6">
        <w:t xml:space="preserve"> view on</w:t>
      </w:r>
      <w:r w:rsidR="00B65785">
        <w:t xml:space="preserve"> </w:t>
      </w:r>
      <w:r w:rsidR="006463E5">
        <w:t xml:space="preserve">additional enhancements for simultaneous operation </w:t>
      </w:r>
      <w:r w:rsidR="006463E5" w:rsidRPr="006463E5">
        <w:t>of IAB-node's child and parent links</w:t>
      </w:r>
      <w:r w:rsidR="00B65785">
        <w:t xml:space="preserve"> in the context of the Rel-17 IAB WID [1] objectives. Specifically, it</w:t>
      </w:r>
      <w:r w:rsidR="006463E5">
        <w:t xml:space="preserve"> addresses potential additional timing modes, power control, and interference management.</w:t>
      </w:r>
    </w:p>
    <w:p w14:paraId="094D2A6A" w14:textId="77777777" w:rsidR="00C476A7" w:rsidRDefault="00083A9B" w:rsidP="00C476A7">
      <w:pPr>
        <w:pStyle w:val="Heading3"/>
      </w:pPr>
      <w:bookmarkStart w:id="1" w:name="_Hlk32401284"/>
      <w:bookmarkStart w:id="2" w:name="_Hlk24102609"/>
      <w:r>
        <w:t>Timing modes</w:t>
      </w:r>
    </w:p>
    <w:p w14:paraId="7060DD4D" w14:textId="286E7C5B" w:rsidR="00C23008" w:rsidRDefault="009A3624" w:rsidP="00C23008">
      <w:r>
        <w:t xml:space="preserve">Rel-16 has defined a </w:t>
      </w:r>
      <w:r w:rsidR="00083A9B">
        <w:t xml:space="preserve">baseline timing mode for IAB, referred as Case 1 timing, which is characterized by DL Tx timing alignment across all IAB-nodes and </w:t>
      </w:r>
      <w:r w:rsidR="008A0CA6">
        <w:t xml:space="preserve">it </w:t>
      </w:r>
      <w:r w:rsidR="00083A9B">
        <w:t xml:space="preserve">maintains the Rel-15 UL timing </w:t>
      </w:r>
      <w:r w:rsidR="008A0CA6">
        <w:t xml:space="preserve">adjustment </w:t>
      </w:r>
      <w:r w:rsidR="00083A9B">
        <w:t>framework</w:t>
      </w:r>
      <w:r w:rsidR="008A0CA6">
        <w:t xml:space="preserve">. Additional timing modes were discussed as potentially useful in the context of enhanced duplexing capability between the IAB-MT and the IAB-DU, particularly for the SDM cases (i.e. simultaneous IAB-MT Rx and IAB-DU Rx, or </w:t>
      </w:r>
      <w:r w:rsidR="0097408A">
        <w:t>simultaneous</w:t>
      </w:r>
      <w:r w:rsidR="008A0CA6">
        <w:t xml:space="preserve"> IAB-MT Tx and IAB-DU Tx).</w:t>
      </w:r>
      <w:r w:rsidR="000A657E">
        <w:t xml:space="preserve"> These timing modes are illustrated in </w:t>
      </w:r>
      <w:r w:rsidR="0069086B">
        <w:fldChar w:fldCharType="begin"/>
      </w:r>
      <w:r w:rsidR="0069086B">
        <w:instrText xml:space="preserve"> REF _Ref47646735 \h </w:instrText>
      </w:r>
      <w:r w:rsidR="0069086B">
        <w:fldChar w:fldCharType="separate"/>
      </w:r>
      <w:r w:rsidR="0069086B">
        <w:t xml:space="preserve">Figure </w:t>
      </w:r>
      <w:r w:rsidR="0069086B">
        <w:rPr>
          <w:noProof/>
        </w:rPr>
        <w:t>1</w:t>
      </w:r>
      <w:r w:rsidR="0069086B">
        <w:fldChar w:fldCharType="end"/>
      </w:r>
      <w:r w:rsidR="000A657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302C" w14:paraId="37DE8C0C" w14:textId="77777777" w:rsidTr="00F5302C">
        <w:tc>
          <w:tcPr>
            <w:tcW w:w="9629" w:type="dxa"/>
          </w:tcPr>
          <w:p w14:paraId="4F16C709" w14:textId="22CE8561" w:rsidR="00F5302C" w:rsidRDefault="0097408A" w:rsidP="00C23008">
            <w:r>
              <w:rPr>
                <w:noProof/>
              </w:rPr>
              <w:drawing>
                <wp:inline distT="0" distB="0" distL="0" distR="0" wp14:anchorId="46E8E9DC" wp14:editId="67DFB1C1">
                  <wp:extent cx="5852160" cy="2889504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160" cy="28895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AF71C9" w14:textId="0C4C6875" w:rsidR="000A657E" w:rsidRDefault="004F4BF6" w:rsidP="004F4BF6">
      <w:pPr>
        <w:pStyle w:val="Caption"/>
        <w:jc w:val="center"/>
      </w:pPr>
      <w:bookmarkStart w:id="3" w:name="_Ref476467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079">
        <w:rPr>
          <w:noProof/>
        </w:rPr>
        <w:t>1</w:t>
      </w:r>
      <w:r>
        <w:fldChar w:fldCharType="end"/>
      </w:r>
      <w:bookmarkEnd w:id="3"/>
      <w:r>
        <w:t xml:space="preserve"> – IAB timing modes</w:t>
      </w:r>
    </w:p>
    <w:p w14:paraId="38AD2C86" w14:textId="77777777" w:rsidR="00EC5FC3" w:rsidRDefault="00EC5FC3" w:rsidP="00EC5FC3">
      <w:r>
        <w:t>Case 6 timing is equivalent to Case 1 timing from a DL Tx timing alignment point of view. On the other hand, it requires the UL Tx timing of the IAB-MT to be aligned with the DL Tx timing of the IAB-DU, in an attempt to facilitate simultaneous transmission by the IAB-MT and the IAB-DU.</w:t>
      </w:r>
    </w:p>
    <w:p w14:paraId="6691D7EF" w14:textId="77777777" w:rsidR="00EC5FC3" w:rsidRDefault="00EC5FC3" w:rsidP="00EC5FC3">
      <w:r>
        <w:t>Similarly, Case 7 timing is too equivalent to Case 1 timing from a DL Tx timing alignment point of view. On the other hand, it requires the UL Rx timing of the IAB-DU to be aligned with the DL Rx timing of the IAB-MT, in an attempt to facilitate simultaneous reception by the IAB-MT and the IAB-DU.</w:t>
      </w:r>
    </w:p>
    <w:p w14:paraId="0415E211" w14:textId="77777777" w:rsidR="0093245F" w:rsidRDefault="0093245F" w:rsidP="00EC5FC3"/>
    <w:p w14:paraId="568E4B6A" w14:textId="7E8725F5" w:rsidR="00C57DBD" w:rsidRDefault="00C57DBD" w:rsidP="00EC5FC3">
      <w:r>
        <w:t xml:space="preserve">The main drawback of Case 6 timing is that when it is used by a given IAB-node it will not be guaranteed that the parent node </w:t>
      </w:r>
      <w:r w:rsidR="00C93390">
        <w:t xml:space="preserve">can ensure all received uplink signals are received time aligned within the CP duration. This may lead to </w:t>
      </w:r>
      <w:r w:rsidR="00C93390">
        <w:lastRenderedPageBreak/>
        <w:t>interference in the upstream link (link to the parent node)</w:t>
      </w:r>
      <w:r w:rsidR="009C1B86">
        <w:t xml:space="preserve"> unless uplink users are </w:t>
      </w:r>
      <w:proofErr w:type="spellStart"/>
      <w:r w:rsidR="009C1B86">
        <w:t>TDMed</w:t>
      </w:r>
      <w:proofErr w:type="spellEnd"/>
      <w:r w:rsidR="00C0346D">
        <w:t>.</w:t>
      </w:r>
      <w:r w:rsidR="00C407F0">
        <w:t xml:space="preserve"> This is undesirable because the </w:t>
      </w:r>
      <w:r w:rsidR="0097408A">
        <w:t>operation</w:t>
      </w:r>
      <w:r w:rsidR="00C407F0">
        <w:t xml:space="preserve"> of a node </w:t>
      </w:r>
      <w:r w:rsidR="009C1B86">
        <w:t>may have</w:t>
      </w:r>
      <w:r w:rsidR="00C407F0">
        <w:t xml:space="preserve"> an impact on </w:t>
      </w:r>
      <w:r w:rsidR="009C1B86">
        <w:t xml:space="preserve">the scheduling </w:t>
      </w:r>
      <w:r w:rsidR="0097408A">
        <w:t>policy</w:t>
      </w:r>
      <w:r w:rsidR="009C1B86">
        <w:t xml:space="preserve"> of a parent</w:t>
      </w:r>
      <w:r w:rsidR="00C407F0">
        <w:t xml:space="preserve"> node.</w:t>
      </w:r>
    </w:p>
    <w:p w14:paraId="2BF005EA" w14:textId="77777777" w:rsidR="00731D1A" w:rsidRPr="00AC2F9A" w:rsidRDefault="002314EA" w:rsidP="00EC5FC3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 w:rsidR="0093245F" w:rsidRPr="00AC2F9A">
        <w:rPr>
          <w:b/>
          <w:bCs/>
          <w:u w:val="single"/>
        </w:rPr>
        <w:t>1</w:t>
      </w:r>
      <w:r w:rsidRPr="00AC2F9A">
        <w:rPr>
          <w:b/>
          <w:bCs/>
          <w:u w:val="single"/>
        </w:rPr>
        <w:t>:</w:t>
      </w:r>
    </w:p>
    <w:p w14:paraId="321FA4C5" w14:textId="77777777" w:rsidR="00947B92" w:rsidRPr="00AC2F9A" w:rsidRDefault="002314EA" w:rsidP="00EC5FC3">
      <w:pPr>
        <w:rPr>
          <w:b/>
          <w:bCs/>
        </w:rPr>
      </w:pPr>
      <w:r w:rsidRPr="00AC2F9A">
        <w:rPr>
          <w:b/>
          <w:bCs/>
        </w:rPr>
        <w:t>Operation in Case 6 timing mode of an IAB-node may cause uplink interference at the IAB-DU receiver of its parent node and/or may require special handling in the uplink scheduler of its parent node to TDM users to avoid such interference.</w:t>
      </w:r>
    </w:p>
    <w:p w14:paraId="0300ED57" w14:textId="77777777" w:rsidR="00947B92" w:rsidRDefault="003E2411" w:rsidP="00EC5FC3">
      <w:r>
        <w:t>The main drawback of Case 7 timing is that it may not be realizable with Rel-15 UL timing control procedures as it would typically require a negative effective timing adjustment on the uplink transmission timing.</w:t>
      </w:r>
      <w:r w:rsidR="00BA3A32">
        <w:t xml:space="preserve"> Any potential change to the timing adjustment framework may also have an impact on the mechanism for OTA timing synchronization.</w:t>
      </w:r>
    </w:p>
    <w:p w14:paraId="559DD8ED" w14:textId="77777777" w:rsidR="00BA3A32" w:rsidRPr="00AC2F9A" w:rsidRDefault="00BA3A32" w:rsidP="00EC5FC3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 w:rsidR="0093245F" w:rsidRPr="00AC2F9A">
        <w:rPr>
          <w:b/>
          <w:bCs/>
          <w:u w:val="single"/>
        </w:rPr>
        <w:t>2</w:t>
      </w:r>
      <w:r w:rsidRPr="00AC2F9A">
        <w:rPr>
          <w:b/>
          <w:bCs/>
          <w:u w:val="single"/>
        </w:rPr>
        <w:t>:</w:t>
      </w:r>
    </w:p>
    <w:p w14:paraId="2397F064" w14:textId="77777777" w:rsidR="00BA3A32" w:rsidRPr="00AC2F9A" w:rsidRDefault="00BA3A32" w:rsidP="00EC5FC3">
      <w:pPr>
        <w:rPr>
          <w:b/>
          <w:bCs/>
        </w:rPr>
      </w:pPr>
      <w:r w:rsidRPr="00AC2F9A">
        <w:rPr>
          <w:b/>
          <w:bCs/>
        </w:rPr>
        <w:t xml:space="preserve">Operation in Case 7 timing mode may require changes </w:t>
      </w:r>
      <w:r w:rsidR="005F4F38" w:rsidRPr="00AC2F9A">
        <w:rPr>
          <w:b/>
          <w:bCs/>
        </w:rPr>
        <w:t>to the Rel-15 UL timing control for IAB nodes, which in turn may also impact the OTA timing mechanism defined in Rel-16 for IAB.</w:t>
      </w:r>
    </w:p>
    <w:p w14:paraId="16EDF337" w14:textId="77777777" w:rsidR="005F4F38" w:rsidRDefault="00CF1965" w:rsidP="00EC5FC3">
      <w:r>
        <w:t>As a result, both Case 6 and Case 7 timing modes require some special handling and time multiplexing in the uplink, which in turn also effectively requires to switch between different timing modes depending on whether IAB-nodes or UEs are scheduled. This seems to introduce additional potential complexities, e.g. in guard symbols for transitions between modes of operation.</w:t>
      </w:r>
    </w:p>
    <w:p w14:paraId="41983203" w14:textId="2F8E30B8" w:rsidR="00856866" w:rsidRDefault="00CF1965" w:rsidP="00EC5FC3">
      <w:r>
        <w:t>It is envisioned that enhanced duplexing capabilities of an IAB-node mostly rely on a multi-panel implementation whereby the IAB-MT and the IAB-DU do not share the same antenna panel.</w:t>
      </w:r>
      <w:r w:rsidR="00C92ABA">
        <w:t xml:space="preserve"> In that context the introduction of Case 7 timing may not be strictly necessary to enable simultaneous reception by the IAB-MT and IAB-DU due to sufficient isolation. Similarly, Case 6 timing may not be strictly </w:t>
      </w:r>
      <w:r w:rsidR="00233BA2">
        <w:t>necessary</w:t>
      </w:r>
      <w:r w:rsidR="00C92ABA">
        <w:t xml:space="preserve"> to enable simultaneous </w:t>
      </w:r>
      <w:r w:rsidR="0097408A">
        <w:t>transmission</w:t>
      </w:r>
      <w:r w:rsidR="00C92ABA">
        <w:t xml:space="preserve"> by the IAB-MT and IAB-DU, as in most cases transmission is steered in different directions hence diminishing the probability of interference </w:t>
      </w:r>
      <w:r w:rsidR="000B7D94">
        <w:t xml:space="preserve">of one transmission (e.g. IAB-DU Tx) </w:t>
      </w:r>
      <w:r w:rsidR="00C92ABA">
        <w:t xml:space="preserve">at </w:t>
      </w:r>
      <w:r w:rsidR="000B7D94">
        <w:t>the</w:t>
      </w:r>
      <w:r w:rsidR="00C92ABA">
        <w:t xml:space="preserve"> intended receiver node</w:t>
      </w:r>
      <w:r w:rsidR="000B7D94">
        <w:t xml:space="preserve"> (</w:t>
      </w:r>
      <w:r w:rsidR="0097408A">
        <w:t>e.g.</w:t>
      </w:r>
      <w:r w:rsidR="000B7D94">
        <w:t xml:space="preserve"> parent node) for the other transmission (</w:t>
      </w:r>
      <w:r w:rsidR="0097408A">
        <w:t>e.g.</w:t>
      </w:r>
      <w:r w:rsidR="000B7D94">
        <w:t xml:space="preserve"> IAB-DU UL Tx)</w:t>
      </w:r>
      <w:r w:rsidR="00C92ABA">
        <w:t>.</w:t>
      </w:r>
      <w:r w:rsidR="00856866">
        <w:t xml:space="preserve"> </w:t>
      </w:r>
      <w:r w:rsidR="0097408A">
        <w:t>Overall,</w:t>
      </w:r>
      <w:r w:rsidR="00856866">
        <w:t xml:space="preserve"> this is consistent with the expectation that enhanced duplexing capabilities may not be realizable in all </w:t>
      </w:r>
      <w:r w:rsidR="0097408A">
        <w:t>circumstances</w:t>
      </w:r>
      <w:r w:rsidR="00856866">
        <w:t xml:space="preserve"> and hence have a dynamic </w:t>
      </w:r>
      <w:r w:rsidR="0097408A">
        <w:t>nature.</w:t>
      </w:r>
    </w:p>
    <w:p w14:paraId="06C37D4D" w14:textId="77777777" w:rsidR="00CF1965" w:rsidRDefault="00856866" w:rsidP="00EC5FC3">
      <w:r>
        <w:t>It is expected that Case 7 timing may have a higher benefit than Case 6 timing, particularly if enhancements to DL power control cannot be introduced.</w:t>
      </w:r>
    </w:p>
    <w:p w14:paraId="14AAAF25" w14:textId="77777777" w:rsidR="0022026D" w:rsidRPr="00AC2F9A" w:rsidRDefault="0022026D" w:rsidP="0022026D">
      <w:pPr>
        <w:rPr>
          <w:b/>
          <w:bCs/>
          <w:u w:val="single"/>
        </w:rPr>
      </w:pPr>
      <w:r w:rsidRPr="00AC2F9A">
        <w:rPr>
          <w:b/>
          <w:bCs/>
          <w:u w:val="single"/>
        </w:rPr>
        <w:t>Observation 3:</w:t>
      </w:r>
    </w:p>
    <w:p w14:paraId="730DCC72" w14:textId="77777777" w:rsidR="0022026D" w:rsidRDefault="0022026D" w:rsidP="0022026D">
      <w:r w:rsidRPr="00AC2F9A">
        <w:rPr>
          <w:b/>
          <w:bCs/>
        </w:rPr>
        <w:t>The benefits of Case 6 and Case 7 timing modes may be limited in a multi-panel implementation aimed at enhanced duplexing capabilities between the IAB-MT and the IAB-DU.</w:t>
      </w:r>
      <w:r w:rsidR="00856866">
        <w:rPr>
          <w:b/>
          <w:bCs/>
        </w:rPr>
        <w:t xml:space="preserve"> Case 7 timing may have a higher benefit than Case 6 timing.</w:t>
      </w:r>
    </w:p>
    <w:p w14:paraId="73691F7B" w14:textId="5C778859" w:rsidR="0022026D" w:rsidRDefault="0022026D" w:rsidP="0022026D">
      <w:r>
        <w:t xml:space="preserve">As a </w:t>
      </w:r>
      <w:r w:rsidR="0097408A">
        <w:t>result,</w:t>
      </w:r>
      <w:r>
        <w:t xml:space="preserve"> we have the following proposal:</w:t>
      </w:r>
    </w:p>
    <w:p w14:paraId="22E9AB72" w14:textId="77777777" w:rsidR="00731D1A" w:rsidRPr="00AC2F9A" w:rsidRDefault="0022026D" w:rsidP="00EC5FC3">
      <w:pPr>
        <w:rPr>
          <w:b/>
          <w:bCs/>
          <w:u w:val="single"/>
        </w:rPr>
      </w:pPr>
      <w:r w:rsidRPr="00AC2F9A">
        <w:rPr>
          <w:b/>
          <w:bCs/>
          <w:u w:val="single"/>
        </w:rPr>
        <w:t>Proposal 1:</w:t>
      </w:r>
    </w:p>
    <w:p w14:paraId="7962EE55" w14:textId="77777777" w:rsidR="0022026D" w:rsidRPr="00AC2F9A" w:rsidRDefault="0022026D" w:rsidP="00EC5FC3">
      <w:pPr>
        <w:rPr>
          <w:b/>
          <w:bCs/>
        </w:rPr>
      </w:pPr>
      <w:proofErr w:type="spellStart"/>
      <w:r w:rsidRPr="00AC2F9A">
        <w:rPr>
          <w:b/>
          <w:bCs/>
        </w:rPr>
        <w:t>Downselect</w:t>
      </w:r>
      <w:proofErr w:type="spellEnd"/>
      <w:r w:rsidRPr="00AC2F9A">
        <w:rPr>
          <w:b/>
          <w:bCs/>
        </w:rPr>
        <w:t xml:space="preserve"> one of the following:</w:t>
      </w:r>
    </w:p>
    <w:p w14:paraId="635E1C60" w14:textId="77777777" w:rsidR="0022026D" w:rsidRPr="00AC2F9A" w:rsidRDefault="0022026D" w:rsidP="00EB0CFC">
      <w:pPr>
        <w:pStyle w:val="ListParagraph"/>
        <w:numPr>
          <w:ilvl w:val="0"/>
          <w:numId w:val="39"/>
        </w:numPr>
        <w:rPr>
          <w:b/>
          <w:bCs/>
        </w:rPr>
      </w:pPr>
      <w:r w:rsidRPr="00AC2F9A">
        <w:rPr>
          <w:b/>
          <w:bCs/>
        </w:rPr>
        <w:t>Alt 1: adopt Case 1 as the only timing mode.</w:t>
      </w:r>
    </w:p>
    <w:p w14:paraId="2C73857D" w14:textId="77777777" w:rsidR="0022026D" w:rsidRPr="00AC2F9A" w:rsidRDefault="0022026D" w:rsidP="00EB0CFC">
      <w:pPr>
        <w:pStyle w:val="ListParagraph"/>
        <w:numPr>
          <w:ilvl w:val="0"/>
          <w:numId w:val="39"/>
        </w:numPr>
        <w:rPr>
          <w:b/>
          <w:bCs/>
        </w:rPr>
      </w:pPr>
      <w:r w:rsidRPr="00AC2F9A">
        <w:rPr>
          <w:b/>
          <w:bCs/>
        </w:rPr>
        <w:t xml:space="preserve">Alt 2: quantify the benefits of Case 7 timing mode to determine whether such benefits are sufficient to justify the additional complexity. </w:t>
      </w:r>
    </w:p>
    <w:p w14:paraId="66D4D47D" w14:textId="77777777" w:rsidR="0022026D" w:rsidRDefault="0022026D" w:rsidP="00EB0CFC">
      <w:pPr>
        <w:pStyle w:val="ListParagraph"/>
        <w:numPr>
          <w:ilvl w:val="0"/>
          <w:numId w:val="39"/>
        </w:numPr>
      </w:pPr>
      <w:r w:rsidRPr="00AC2F9A">
        <w:rPr>
          <w:b/>
          <w:bCs/>
        </w:rPr>
        <w:t>Alt 3: quantify the benefits of Case 6 and Case 7 timing modes to determine whether such benefits are sufficient to justify the additional complexity.</w:t>
      </w:r>
    </w:p>
    <w:p w14:paraId="0DE8B593" w14:textId="64C6F1E2" w:rsidR="00233BA2" w:rsidRDefault="00233BA2" w:rsidP="00EC5FC3"/>
    <w:p w14:paraId="6A9E3651" w14:textId="3973CE32" w:rsidR="004A6938" w:rsidRDefault="004A6938" w:rsidP="004A6938">
      <w:pPr>
        <w:pStyle w:val="Heading3"/>
      </w:pPr>
      <w:r>
        <w:t>Power control</w:t>
      </w:r>
    </w:p>
    <w:p w14:paraId="3F3A604A" w14:textId="213A5B48" w:rsidR="004A6938" w:rsidRDefault="00346C5C" w:rsidP="004A6938">
      <w:r>
        <w:t xml:space="preserve">Another area identified in the WID [1] for potential enhancement to support simultaneous operation </w:t>
      </w:r>
      <w:r w:rsidRPr="006463E5">
        <w:t>of IAB-node's child and parent links</w:t>
      </w:r>
      <w:r>
        <w:t xml:space="preserve"> is power control.</w:t>
      </w:r>
      <w:r w:rsidR="00CA672C">
        <w:t xml:space="preserve"> The </w:t>
      </w:r>
      <w:r w:rsidR="00C6434E">
        <w:t xml:space="preserve">system </w:t>
      </w:r>
      <w:r w:rsidR="00AE3D9D">
        <w:t xml:space="preserve">model </w:t>
      </w:r>
      <w:r w:rsidR="00CA672C">
        <w:t xml:space="preserve">is depicted in </w:t>
      </w:r>
      <w:r w:rsidR="00CA672C">
        <w:fldChar w:fldCharType="begin"/>
      </w:r>
      <w:r w:rsidR="00CA672C">
        <w:instrText xml:space="preserve"> REF _Ref47697975 \h </w:instrText>
      </w:r>
      <w:r w:rsidR="00CA672C">
        <w:fldChar w:fldCharType="separate"/>
      </w:r>
      <w:r w:rsidR="00CA672C">
        <w:t xml:space="preserve">Figure </w:t>
      </w:r>
      <w:r w:rsidR="00CA672C">
        <w:rPr>
          <w:noProof/>
        </w:rPr>
        <w:t>2</w:t>
      </w:r>
      <w:r w:rsidR="00CA672C">
        <w:fldChar w:fldCharType="end"/>
      </w:r>
      <w:r w:rsidR="00CA672C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868A5" w14:paraId="4216B506" w14:textId="77777777" w:rsidTr="0055272A">
        <w:tc>
          <w:tcPr>
            <w:tcW w:w="9629" w:type="dxa"/>
          </w:tcPr>
          <w:p w14:paraId="38E847C9" w14:textId="5B827A5F" w:rsidR="005868A5" w:rsidRDefault="00AE3D9D" w:rsidP="005868A5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BE2BE8F" wp14:editId="2DBBCABB">
                  <wp:extent cx="5458968" cy="1956816"/>
                  <wp:effectExtent l="0" t="0" r="8890" b="571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8968" cy="19568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70D5B5" w14:textId="5B8094EC" w:rsidR="005868A5" w:rsidRDefault="005868A5" w:rsidP="005868A5">
      <w:pPr>
        <w:pStyle w:val="Caption"/>
        <w:jc w:val="center"/>
      </w:pPr>
      <w:bookmarkStart w:id="4" w:name="_Ref476979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079">
        <w:rPr>
          <w:noProof/>
        </w:rPr>
        <w:t>2</w:t>
      </w:r>
      <w:r>
        <w:fldChar w:fldCharType="end"/>
      </w:r>
      <w:bookmarkEnd w:id="4"/>
      <w:r>
        <w:t xml:space="preserve"> – Power management for adjacent links</w:t>
      </w:r>
    </w:p>
    <w:p w14:paraId="35BC2E5B" w14:textId="31CDE65E" w:rsidR="00E72209" w:rsidRDefault="00D4641B" w:rsidP="006C2328">
      <w:r>
        <w:t>T</w:t>
      </w:r>
      <w:r w:rsidR="00AE3D9D">
        <w:t>he transmit power levels on the adjacent links are managed independently, the upstream link power levels by the parent node and the downstream link power levels by the IAB-node.</w:t>
      </w:r>
      <w:r w:rsidR="00E72209">
        <w:t xml:space="preserve"> The main concern is that in the context of SDM Rx the received power P</w:t>
      </w:r>
      <w:r w:rsidR="00E72209" w:rsidRPr="00221EA3">
        <w:rPr>
          <w:vertAlign w:val="subscript"/>
        </w:rPr>
        <w:t>DL,TX</w:t>
      </w:r>
      <w:r w:rsidR="00E72209">
        <w:t xml:space="preserve"> may overwhelm the IAB-DU receiver targeting a certain Rx power level </w:t>
      </w:r>
      <w:r w:rsidR="00221EA3">
        <w:t>(used to control P</w:t>
      </w:r>
      <w:r w:rsidR="00221EA3" w:rsidRPr="00221EA3">
        <w:rPr>
          <w:vertAlign w:val="subscript"/>
        </w:rPr>
        <w:t>UL,TX</w:t>
      </w:r>
      <w:r w:rsidR="00221EA3">
        <w:t>).</w:t>
      </w:r>
    </w:p>
    <w:p w14:paraId="30852E38" w14:textId="30DF87FA" w:rsidR="006C2328" w:rsidRDefault="00D4641B" w:rsidP="006C2328">
      <w:r>
        <w:t xml:space="preserve">In </w:t>
      </w:r>
      <w:r w:rsidR="00B84D78">
        <w:t>general,</w:t>
      </w:r>
      <w:r>
        <w:t xml:space="preserve"> the IAB-node, with the knowledge of its IAB-MT scheduling by the parent node, may be able to adjust target power levels for the downstream link to its own children nodes and UEs.</w:t>
      </w:r>
      <w:r w:rsidR="00111701">
        <w:t xml:space="preserve"> Special consideration should be given to the transmission of reference signals by the IAB-DU.</w:t>
      </w:r>
      <w:r w:rsidR="00C962E2">
        <w:t xml:space="preserve"> </w:t>
      </w:r>
      <w:r w:rsidR="00221EA3">
        <w:t xml:space="preserve">As a </w:t>
      </w:r>
      <w:r w:rsidR="00B84D78">
        <w:t>result,</w:t>
      </w:r>
      <w:r w:rsidR="00221EA3">
        <w:t xml:space="preserve"> this may be handled by implementation.</w:t>
      </w:r>
    </w:p>
    <w:p w14:paraId="290F3391" w14:textId="53D9C7D9" w:rsidR="00221EA3" w:rsidRPr="00AC2F9A" w:rsidRDefault="00221EA3" w:rsidP="00221EA3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4</w:t>
      </w:r>
      <w:r w:rsidRPr="00AC2F9A">
        <w:rPr>
          <w:b/>
          <w:bCs/>
          <w:u w:val="single"/>
        </w:rPr>
        <w:t>:</w:t>
      </w:r>
    </w:p>
    <w:p w14:paraId="25F62B11" w14:textId="088EC365" w:rsidR="00221EA3" w:rsidRPr="006C2328" w:rsidRDefault="00221EA3" w:rsidP="00221EA3">
      <w:r>
        <w:rPr>
          <w:b/>
          <w:bCs/>
        </w:rPr>
        <w:t>Power control handling for enhanced duplexing capabilities may be handled by implementation.</w:t>
      </w:r>
    </w:p>
    <w:bookmarkEnd w:id="1"/>
    <w:bookmarkEnd w:id="2"/>
    <w:p w14:paraId="777B2DFA" w14:textId="0B6DACC5" w:rsidR="00C6434E" w:rsidRDefault="00921746" w:rsidP="00C6434E">
      <w:pPr>
        <w:pStyle w:val="Heading3"/>
      </w:pPr>
      <w:r>
        <w:t>Interference management</w:t>
      </w:r>
    </w:p>
    <w:p w14:paraId="0110AAF5" w14:textId="0D073A4F" w:rsidR="00C6434E" w:rsidRDefault="00C6434E" w:rsidP="00C6434E">
      <w:r>
        <w:t xml:space="preserve">Another area identified in the WID [1] for potential enhancement to support simultaneous operation </w:t>
      </w:r>
      <w:r w:rsidRPr="006463E5">
        <w:t>of IAB-node's child and parent links</w:t>
      </w:r>
      <w:r>
        <w:t xml:space="preserve"> is CLI and more generally interference management of backhaul links.</w:t>
      </w:r>
    </w:p>
    <w:p w14:paraId="6954A41D" w14:textId="6A859237" w:rsidR="00801FB5" w:rsidRDefault="00801FB5" w:rsidP="00C6434E">
      <w:r>
        <w:t xml:space="preserve">For a given typical IAB tree of three nodes, the interference scenarios that may arise are illustrated in </w:t>
      </w:r>
      <w:r w:rsidR="00AF3348">
        <w:fldChar w:fldCharType="begin"/>
      </w:r>
      <w:r w:rsidR="00AF3348">
        <w:instrText xml:space="preserve"> REF _Ref47710334 \h </w:instrText>
      </w:r>
      <w:r w:rsidR="00AF3348">
        <w:fldChar w:fldCharType="separate"/>
      </w:r>
      <w:r w:rsidR="00AF3348">
        <w:t xml:space="preserve">Figure </w:t>
      </w:r>
      <w:r w:rsidR="00AF3348">
        <w:rPr>
          <w:noProof/>
        </w:rPr>
        <w:t>3</w:t>
      </w:r>
      <w:r w:rsidR="00AF3348">
        <w:fldChar w:fldCharType="end"/>
      </w:r>
      <w:r w:rsidR="00AF3348">
        <w:t xml:space="preserve">, where </w:t>
      </w:r>
      <w:r w:rsidR="00013B20">
        <w:t xml:space="preserve">Inter Cell Interference (ICI), </w:t>
      </w:r>
      <w:r w:rsidR="00AF3348">
        <w:t>Cross Link Interference (CLI), and Self Interference (SI) are illustrated for the various cases of transmission and reception</w:t>
      </w:r>
      <w:r w:rsidR="008B6C57">
        <w:t xml:space="preserve"> when the IAB-MT and the IAB-DU operate simultaneously.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1FB5" w14:paraId="3743F405" w14:textId="77777777" w:rsidTr="0055272A">
        <w:tc>
          <w:tcPr>
            <w:tcW w:w="9629" w:type="dxa"/>
          </w:tcPr>
          <w:p w14:paraId="128FF202" w14:textId="704F1DF0" w:rsidR="00801FB5" w:rsidRDefault="00A976AC" w:rsidP="00C6434E">
            <w:r>
              <w:rPr>
                <w:noProof/>
              </w:rPr>
              <w:drawing>
                <wp:inline distT="0" distB="0" distL="0" distR="0" wp14:anchorId="052D48CB" wp14:editId="08263648">
                  <wp:extent cx="5998464" cy="2039112"/>
                  <wp:effectExtent l="0" t="0" r="254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8464" cy="20391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F78735" w14:textId="21F80484" w:rsidR="00801FB5" w:rsidRDefault="00AF3348" w:rsidP="00AF3348">
      <w:pPr>
        <w:pStyle w:val="Caption"/>
        <w:jc w:val="center"/>
      </w:pPr>
      <w:bookmarkStart w:id="5" w:name="_Ref477103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1079">
        <w:rPr>
          <w:noProof/>
        </w:rPr>
        <w:t>3</w:t>
      </w:r>
      <w:r>
        <w:fldChar w:fldCharType="end"/>
      </w:r>
      <w:bookmarkEnd w:id="5"/>
      <w:r>
        <w:t xml:space="preserve"> – Interference scenarios</w:t>
      </w:r>
    </w:p>
    <w:p w14:paraId="7E92FF1A" w14:textId="37143DFE" w:rsidR="0027025B" w:rsidRDefault="008B6C57" w:rsidP="008B6C57">
      <w:r>
        <w:t>The ICI effects are deemed less severe than the effects associated with CLI and SI, since the interfering sources are farther apart</w:t>
      </w:r>
      <w:r w:rsidR="0027025B">
        <w:t xml:space="preserve">. In any case standard legacy solutions can be applied to mitigate these effects. The CLI effects are expected to be mitigated by the Rel-16 CLI framework, with some potential enhancements as needed. The SI affects may require further study to determine </w:t>
      </w:r>
      <w:r w:rsidR="00EB0CFC">
        <w:t>need</w:t>
      </w:r>
      <w:r w:rsidR="0027025B">
        <w:t xml:space="preserve"> </w:t>
      </w:r>
      <w:r w:rsidR="00EB0CFC">
        <w:t>for</w:t>
      </w:r>
      <w:r w:rsidR="0027025B">
        <w:t xml:space="preserve"> specific measurements to be introduced in the specification.</w:t>
      </w:r>
    </w:p>
    <w:p w14:paraId="1E9B0853" w14:textId="3C9B23D5" w:rsidR="0055272A" w:rsidRDefault="0055272A" w:rsidP="008B6C57"/>
    <w:p w14:paraId="26BA6764" w14:textId="77777777" w:rsidR="0055272A" w:rsidRDefault="0055272A" w:rsidP="008B6C57"/>
    <w:p w14:paraId="31BD8BFF" w14:textId="13A913AB" w:rsidR="000B482E" w:rsidRPr="00AC2F9A" w:rsidRDefault="000B482E" w:rsidP="000B482E">
      <w:pPr>
        <w:rPr>
          <w:b/>
          <w:bCs/>
          <w:u w:val="single"/>
        </w:rPr>
      </w:pPr>
      <w:r w:rsidRPr="00AC2F9A">
        <w:rPr>
          <w:b/>
          <w:bCs/>
          <w:u w:val="single"/>
        </w:rPr>
        <w:lastRenderedPageBreak/>
        <w:t xml:space="preserve">Observation </w:t>
      </w:r>
      <w:r w:rsidR="0052442B">
        <w:rPr>
          <w:b/>
          <w:bCs/>
          <w:u w:val="single"/>
        </w:rPr>
        <w:t>5</w:t>
      </w:r>
      <w:r w:rsidRPr="00AC2F9A">
        <w:rPr>
          <w:b/>
          <w:bCs/>
          <w:u w:val="single"/>
        </w:rPr>
        <w:t>:</w:t>
      </w:r>
    </w:p>
    <w:p w14:paraId="4FB0897B" w14:textId="12933E6A" w:rsidR="000B482E" w:rsidRDefault="000B482E" w:rsidP="000B482E">
      <w:pPr>
        <w:rPr>
          <w:b/>
          <w:bCs/>
        </w:rPr>
      </w:pPr>
      <w:r w:rsidRPr="00AC2F9A">
        <w:rPr>
          <w:b/>
          <w:bCs/>
        </w:rPr>
        <w:t xml:space="preserve">The </w:t>
      </w:r>
      <w:r w:rsidR="00013B20">
        <w:rPr>
          <w:b/>
          <w:bCs/>
        </w:rPr>
        <w:t xml:space="preserve">interference components in case of </w:t>
      </w:r>
      <w:r w:rsidR="00B84D78">
        <w:rPr>
          <w:b/>
          <w:bCs/>
        </w:rPr>
        <w:t>simultaneous</w:t>
      </w:r>
      <w:r w:rsidR="00013B20">
        <w:rPr>
          <w:b/>
          <w:bCs/>
        </w:rPr>
        <w:t xml:space="preserve"> operation of the IAB-MT and the IAB-DU are:</w:t>
      </w:r>
    </w:p>
    <w:p w14:paraId="43506B49" w14:textId="3852DB34" w:rsidR="00013B20" w:rsidRPr="00EB0CFC" w:rsidRDefault="00013B20" w:rsidP="00EB0CFC">
      <w:pPr>
        <w:pStyle w:val="ListParagraph"/>
        <w:numPr>
          <w:ilvl w:val="0"/>
          <w:numId w:val="38"/>
        </w:numPr>
        <w:rPr>
          <w:b/>
          <w:bCs/>
        </w:rPr>
      </w:pPr>
      <w:r w:rsidRPr="00EB0CFC">
        <w:rPr>
          <w:b/>
          <w:bCs/>
        </w:rPr>
        <w:t>Inter Cell Interference (ICI)</w:t>
      </w:r>
    </w:p>
    <w:p w14:paraId="0DD3A3DA" w14:textId="4BA37FC5" w:rsidR="00013B20" w:rsidRPr="00EB0CFC" w:rsidRDefault="00013B20" w:rsidP="00EB0CFC">
      <w:pPr>
        <w:pStyle w:val="ListParagraph"/>
        <w:numPr>
          <w:ilvl w:val="0"/>
          <w:numId w:val="38"/>
        </w:numPr>
        <w:rPr>
          <w:b/>
          <w:bCs/>
        </w:rPr>
      </w:pPr>
      <w:r w:rsidRPr="00EB0CFC">
        <w:rPr>
          <w:b/>
          <w:bCs/>
        </w:rPr>
        <w:t>Cross Link Interference (CLI)</w:t>
      </w:r>
    </w:p>
    <w:p w14:paraId="4FAF3C82" w14:textId="426CFDAE" w:rsidR="008A2B55" w:rsidRPr="00EB0CFC" w:rsidRDefault="00B84D78" w:rsidP="00EB0CFC">
      <w:pPr>
        <w:pStyle w:val="ListParagraph"/>
        <w:numPr>
          <w:ilvl w:val="0"/>
          <w:numId w:val="38"/>
        </w:numPr>
        <w:rPr>
          <w:b/>
          <w:bCs/>
        </w:rPr>
      </w:pPr>
      <w:r w:rsidRPr="00EB0CFC">
        <w:rPr>
          <w:b/>
          <w:bCs/>
        </w:rPr>
        <w:t>Self-interference</w:t>
      </w:r>
      <w:r w:rsidR="008A2B55" w:rsidRPr="00EB0CFC">
        <w:rPr>
          <w:b/>
          <w:bCs/>
        </w:rPr>
        <w:t xml:space="preserve"> (SI)</w:t>
      </w:r>
    </w:p>
    <w:p w14:paraId="1C3D3894" w14:textId="5A6980AE" w:rsidR="00013B20" w:rsidRDefault="0055272A" w:rsidP="000B482E">
      <w:pPr>
        <w:rPr>
          <w:b/>
          <w:bCs/>
        </w:rPr>
      </w:pPr>
      <w:r>
        <w:rPr>
          <w:b/>
          <w:bCs/>
        </w:rPr>
        <w:t>ICI</w:t>
      </w:r>
      <w:r w:rsidRPr="00EB0CFC">
        <w:rPr>
          <w:b/>
          <w:bCs/>
        </w:rPr>
        <w:t xml:space="preserve"> effects are deemed less severe and can be handled anyway with legacy solutions.</w:t>
      </w:r>
    </w:p>
    <w:p w14:paraId="1C7A846E" w14:textId="520ACF6C" w:rsidR="0055272A" w:rsidRDefault="0055272A" w:rsidP="000B482E">
      <w:pPr>
        <w:rPr>
          <w:b/>
          <w:bCs/>
        </w:rPr>
      </w:pPr>
      <w:r>
        <w:rPr>
          <w:b/>
          <w:bCs/>
        </w:rPr>
        <w:t xml:space="preserve">CLI is </w:t>
      </w:r>
      <w:r w:rsidR="00B84D78" w:rsidRPr="00EB0CFC">
        <w:rPr>
          <w:b/>
          <w:bCs/>
        </w:rPr>
        <w:t>expected</w:t>
      </w:r>
      <w:r w:rsidRPr="00EB0CFC">
        <w:rPr>
          <w:b/>
          <w:bCs/>
        </w:rPr>
        <w:t xml:space="preserve"> to be mitigated by the Rel-16 CLI framework, with some potential enhancements as needed.</w:t>
      </w:r>
    </w:p>
    <w:p w14:paraId="11A9D617" w14:textId="6DE9A2B7" w:rsidR="0055272A" w:rsidRPr="00013B20" w:rsidRDefault="0055272A" w:rsidP="000B482E">
      <w:pPr>
        <w:rPr>
          <w:b/>
          <w:bCs/>
        </w:rPr>
      </w:pPr>
      <w:r>
        <w:rPr>
          <w:b/>
          <w:bCs/>
        </w:rPr>
        <w:t xml:space="preserve">SI </w:t>
      </w:r>
      <w:r w:rsidRPr="00EB0CFC">
        <w:rPr>
          <w:b/>
          <w:bCs/>
        </w:rPr>
        <w:t>may require further study to determine need for specific measurements to be introduced in the specification.</w:t>
      </w:r>
    </w:p>
    <w:p w14:paraId="2622F5B3" w14:textId="32616887" w:rsidR="000B482E" w:rsidRDefault="00E0790C" w:rsidP="000B482E">
      <w:r>
        <w:t xml:space="preserve">Moreover, it is observed that CLI </w:t>
      </w:r>
      <w:r w:rsidRPr="00E0790C">
        <w:t>may happen between any two neighboring IAB-nodes</w:t>
      </w:r>
      <w:r>
        <w:t xml:space="preserve">, as illustrated in </w:t>
      </w:r>
      <w:r w:rsidR="002B1079">
        <w:fldChar w:fldCharType="begin"/>
      </w:r>
      <w:r w:rsidR="002B1079">
        <w:instrText xml:space="preserve"> REF _Ref47714486 \h </w:instrText>
      </w:r>
      <w:r w:rsidR="002B1079">
        <w:fldChar w:fldCharType="separate"/>
      </w:r>
      <w:r w:rsidR="002B1079">
        <w:t xml:space="preserve">Figure </w:t>
      </w:r>
      <w:r w:rsidR="002B1079">
        <w:rPr>
          <w:noProof/>
        </w:rPr>
        <w:t>4</w:t>
      </w:r>
      <w:r w:rsidR="002B1079">
        <w:fldChar w:fldCharType="end"/>
      </w:r>
      <w:r>
        <w:t>, hence it is</w:t>
      </w:r>
      <w:r w:rsidRPr="00E0790C">
        <w:t xml:space="preserve"> not limited to Rel-17 enhanced duplexing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1079" w14:paraId="1F607287" w14:textId="77777777" w:rsidTr="002B1079">
        <w:tc>
          <w:tcPr>
            <w:tcW w:w="9629" w:type="dxa"/>
          </w:tcPr>
          <w:p w14:paraId="216AF5B2" w14:textId="013D0085" w:rsidR="002B1079" w:rsidRDefault="002B1079" w:rsidP="002B107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DE45CC6" wp14:editId="1C49937C">
                  <wp:extent cx="5641848" cy="158191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1848" cy="15819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FAFD68" w14:textId="22B03F1B" w:rsidR="00E0790C" w:rsidRDefault="002B1079" w:rsidP="002B1079">
      <w:pPr>
        <w:pStyle w:val="Caption"/>
        <w:jc w:val="center"/>
      </w:pPr>
      <w:bookmarkStart w:id="6" w:name="_Ref477144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 xml:space="preserve"> – CLI scenarios in IAB</w:t>
      </w:r>
    </w:p>
    <w:p w14:paraId="5E71BA43" w14:textId="47067DA9" w:rsidR="00BF03F6" w:rsidRDefault="00B84D78" w:rsidP="00BF03F6">
      <w:r>
        <w:t>Furthermore,</w:t>
      </w:r>
      <w:r w:rsidR="00BF03F6">
        <w:t xml:space="preserve"> it is observed that the Rel-16 CLI framework has some limitations, summarized in the following observation.</w:t>
      </w:r>
    </w:p>
    <w:p w14:paraId="6ED11E37" w14:textId="42520AF6" w:rsidR="00BF03F6" w:rsidRPr="00AC2F9A" w:rsidRDefault="00BF03F6" w:rsidP="00BF03F6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6</w:t>
      </w:r>
      <w:r w:rsidRPr="00AC2F9A">
        <w:rPr>
          <w:b/>
          <w:bCs/>
          <w:u w:val="single"/>
        </w:rPr>
        <w:t>:</w:t>
      </w:r>
    </w:p>
    <w:p w14:paraId="77141211" w14:textId="21E87E1D" w:rsidR="00BF03F6" w:rsidRDefault="00BF03F6" w:rsidP="00BF03F6">
      <w:pPr>
        <w:rPr>
          <w:b/>
          <w:bCs/>
        </w:rPr>
      </w:pPr>
      <w:r w:rsidRPr="00AC2F9A">
        <w:rPr>
          <w:b/>
          <w:bCs/>
        </w:rPr>
        <w:t>T</w:t>
      </w:r>
      <w:r>
        <w:rPr>
          <w:b/>
          <w:bCs/>
        </w:rPr>
        <w:t>he Rel-16 CLI framework has some limitations. Specifically:</w:t>
      </w:r>
    </w:p>
    <w:p w14:paraId="64A8198A" w14:textId="1127B216" w:rsidR="00E25086" w:rsidRPr="00E25086" w:rsidRDefault="00E25086" w:rsidP="00E25086">
      <w:pPr>
        <w:pStyle w:val="ListParagraph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There is n</w:t>
      </w:r>
      <w:r w:rsidRPr="00E25086">
        <w:rPr>
          <w:b/>
          <w:bCs/>
        </w:rPr>
        <w:t>o specified inter-CU (</w:t>
      </w:r>
      <w:proofErr w:type="spellStart"/>
      <w:r w:rsidRPr="00E25086">
        <w:rPr>
          <w:b/>
          <w:bCs/>
        </w:rPr>
        <w:t>Xn</w:t>
      </w:r>
      <w:proofErr w:type="spellEnd"/>
      <w:r w:rsidRPr="00E25086">
        <w:rPr>
          <w:b/>
          <w:bCs/>
        </w:rPr>
        <w:t xml:space="preserve">) </w:t>
      </w:r>
      <w:proofErr w:type="spellStart"/>
      <w:r w:rsidRPr="00E25086">
        <w:rPr>
          <w:b/>
          <w:bCs/>
        </w:rPr>
        <w:t>signaling</w:t>
      </w:r>
      <w:proofErr w:type="spellEnd"/>
      <w:r w:rsidRPr="00E25086">
        <w:rPr>
          <w:b/>
          <w:bCs/>
        </w:rPr>
        <w:t xml:space="preserve"> to indicate the SRS configurations for UEs/MTs’ CLI measurements. </w:t>
      </w:r>
      <w:r>
        <w:rPr>
          <w:b/>
          <w:bCs/>
        </w:rPr>
        <w:t xml:space="preserve">This is </w:t>
      </w:r>
      <w:r w:rsidRPr="00E25086">
        <w:rPr>
          <w:b/>
          <w:bCs/>
        </w:rPr>
        <w:t>a general, non-IAB-specific</w:t>
      </w:r>
      <w:r>
        <w:rPr>
          <w:b/>
          <w:bCs/>
        </w:rPr>
        <w:t>,</w:t>
      </w:r>
      <w:r w:rsidRPr="00E25086">
        <w:rPr>
          <w:b/>
          <w:bCs/>
        </w:rPr>
        <w:t xml:space="preserve"> </w:t>
      </w:r>
      <w:r>
        <w:rPr>
          <w:b/>
          <w:bCs/>
        </w:rPr>
        <w:t>issue.</w:t>
      </w:r>
    </w:p>
    <w:p w14:paraId="1FE8A1C5" w14:textId="5110E4C5" w:rsidR="00E25086" w:rsidRPr="00E25086" w:rsidRDefault="00E25086" w:rsidP="00E25086">
      <w:pPr>
        <w:pStyle w:val="ListParagraph"/>
        <w:numPr>
          <w:ilvl w:val="0"/>
          <w:numId w:val="40"/>
        </w:numPr>
        <w:rPr>
          <w:b/>
          <w:bCs/>
        </w:rPr>
      </w:pPr>
      <w:r w:rsidRPr="00E25086">
        <w:rPr>
          <w:b/>
          <w:bCs/>
        </w:rPr>
        <w:t>No specified inter-DU interference measurements and reporting</w:t>
      </w:r>
      <w:r w:rsidR="00C26FFF">
        <w:rPr>
          <w:b/>
          <w:bCs/>
        </w:rPr>
        <w:t>.</w:t>
      </w:r>
    </w:p>
    <w:p w14:paraId="594154E1" w14:textId="3CE1C9B5" w:rsidR="00C26FFF" w:rsidRPr="00C26FFF" w:rsidRDefault="00E25086" w:rsidP="00C26FFF">
      <w:pPr>
        <w:pStyle w:val="ListParagraph"/>
        <w:numPr>
          <w:ilvl w:val="0"/>
          <w:numId w:val="40"/>
        </w:numPr>
        <w:rPr>
          <w:b/>
          <w:bCs/>
        </w:rPr>
      </w:pPr>
      <w:r w:rsidRPr="00E25086">
        <w:rPr>
          <w:b/>
          <w:bCs/>
        </w:rPr>
        <w:t xml:space="preserve">Rel-16 CLI </w:t>
      </w:r>
      <w:proofErr w:type="spellStart"/>
      <w:r w:rsidRPr="00E25086">
        <w:rPr>
          <w:b/>
          <w:bCs/>
        </w:rPr>
        <w:t>signaling</w:t>
      </w:r>
      <w:proofErr w:type="spellEnd"/>
      <w:r w:rsidRPr="00E25086">
        <w:rPr>
          <w:b/>
          <w:bCs/>
        </w:rPr>
        <w:t xml:space="preserve"> (intended TDD configuration) does not support IAB-specific resource configurations.</w:t>
      </w:r>
    </w:p>
    <w:p w14:paraId="01008E20" w14:textId="2DB24014" w:rsidR="00C26FFF" w:rsidRDefault="00C26FFF" w:rsidP="00C26FFF">
      <w:r>
        <w:t>In summary we have the following propos</w:t>
      </w:r>
      <w:r w:rsidR="00292740">
        <w:t>als</w:t>
      </w:r>
      <w:r>
        <w:t>.</w:t>
      </w:r>
    </w:p>
    <w:p w14:paraId="0348A4CD" w14:textId="18CC270A" w:rsidR="00C26FFF" w:rsidRPr="00AC2F9A" w:rsidRDefault="00C26FFF" w:rsidP="00C26FFF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AC2F9A">
        <w:rPr>
          <w:b/>
          <w:bCs/>
          <w:u w:val="single"/>
        </w:rPr>
        <w:t>:</w:t>
      </w:r>
    </w:p>
    <w:p w14:paraId="1C1409C5" w14:textId="5DED388D" w:rsidR="00C26FFF" w:rsidRDefault="00C26FFF" w:rsidP="00C26FFF">
      <w:pPr>
        <w:rPr>
          <w:b/>
          <w:bCs/>
        </w:rPr>
      </w:pPr>
      <w:r w:rsidRPr="00C26FFF">
        <w:rPr>
          <w:b/>
          <w:bCs/>
        </w:rPr>
        <w:t xml:space="preserve">Specify enhancements to Rel-16 CLI to guarantee inter-operability and </w:t>
      </w:r>
      <w:r w:rsidR="009E1DD9">
        <w:rPr>
          <w:b/>
          <w:bCs/>
        </w:rPr>
        <w:t>efficiency</w:t>
      </w:r>
      <w:r w:rsidRPr="00C26FFF">
        <w:rPr>
          <w:b/>
          <w:bCs/>
        </w:rPr>
        <w:t>. Details are FFS.</w:t>
      </w:r>
    </w:p>
    <w:p w14:paraId="51C079E0" w14:textId="754D9E67" w:rsidR="00C26FFF" w:rsidRPr="00C26FFF" w:rsidRDefault="00C26FFF" w:rsidP="00C26FFF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Proposal </w:t>
      </w:r>
      <w:r w:rsidR="00292740">
        <w:rPr>
          <w:b/>
          <w:bCs/>
          <w:u w:val="single"/>
        </w:rPr>
        <w:t>3</w:t>
      </w:r>
      <w:r w:rsidRPr="00AC2F9A">
        <w:rPr>
          <w:b/>
          <w:bCs/>
          <w:u w:val="single"/>
        </w:rPr>
        <w:t>:</w:t>
      </w:r>
    </w:p>
    <w:p w14:paraId="7970E862" w14:textId="13ABD54F" w:rsidR="00C26FFF" w:rsidRDefault="00C26FFF" w:rsidP="00C26FFF">
      <w:pPr>
        <w:rPr>
          <w:b/>
          <w:bCs/>
        </w:rPr>
      </w:pPr>
      <w:r w:rsidRPr="00C26FFF">
        <w:rPr>
          <w:b/>
          <w:bCs/>
        </w:rPr>
        <w:t>Determine whether specific SI measurements are needed.</w:t>
      </w:r>
    </w:p>
    <w:p w14:paraId="42230387" w14:textId="544B24FD" w:rsidR="00F05427" w:rsidRDefault="00F05427" w:rsidP="00C26FFF">
      <w:pPr>
        <w:rPr>
          <w:b/>
          <w:bCs/>
        </w:rPr>
      </w:pPr>
    </w:p>
    <w:p w14:paraId="338A8D0A" w14:textId="5D1D82B4" w:rsidR="00652213" w:rsidRDefault="007458D9" w:rsidP="00F05427">
      <w:pPr>
        <w:pStyle w:val="Heading3"/>
        <w:ind w:left="0" w:firstLine="0"/>
      </w:pPr>
      <w:r>
        <w:t>Conclusion</w:t>
      </w:r>
    </w:p>
    <w:p w14:paraId="65517ACB" w14:textId="7B0BC6EA" w:rsidR="007458D9" w:rsidRDefault="00F4475B" w:rsidP="00652213">
      <w:r>
        <w:t xml:space="preserve">This contribution </w:t>
      </w:r>
      <w:r w:rsidR="00A123EA">
        <w:t>provide</w:t>
      </w:r>
      <w:r w:rsidR="00A87D42">
        <w:t>d</w:t>
      </w:r>
      <w:r w:rsidR="008C1E35">
        <w:t xml:space="preserve"> </w:t>
      </w:r>
      <w:r w:rsidR="00F01CE3">
        <w:t xml:space="preserve">our view on additional enhancements for simultaneous operation </w:t>
      </w:r>
      <w:r w:rsidR="00F01CE3" w:rsidRPr="006463E5">
        <w:t>of IAB-node's child and parent links</w:t>
      </w:r>
      <w:r w:rsidR="008C1E35">
        <w:t xml:space="preserve"> </w:t>
      </w:r>
      <w:r w:rsidR="00A123EA">
        <w:t>.</w:t>
      </w:r>
      <w:r w:rsidR="00152200">
        <w:t xml:space="preserve"> The following observations and proposals were made:</w:t>
      </w:r>
    </w:p>
    <w:p w14:paraId="496E3FA8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>Observation 1:</w:t>
      </w:r>
    </w:p>
    <w:p w14:paraId="258CF975" w14:textId="77777777" w:rsidR="00F05427" w:rsidRPr="00AC2F9A" w:rsidRDefault="00F05427" w:rsidP="00F05427">
      <w:pPr>
        <w:rPr>
          <w:b/>
          <w:bCs/>
        </w:rPr>
      </w:pPr>
      <w:r w:rsidRPr="00AC2F9A">
        <w:rPr>
          <w:b/>
          <w:bCs/>
        </w:rPr>
        <w:t>Operation in Case 6 timing mode of an IAB-node may cause uplink interference at the IAB-DU receiver of its parent node and/or may require special handling in the uplink scheduler of its parent node to TDM users to avoid such interference.</w:t>
      </w:r>
    </w:p>
    <w:p w14:paraId="2C4AC6C9" w14:textId="7086F381" w:rsidR="00F05427" w:rsidRDefault="00F05427" w:rsidP="00F05427">
      <w:r>
        <w:lastRenderedPageBreak/>
        <w:t>.</w:t>
      </w:r>
    </w:p>
    <w:p w14:paraId="4BB8D939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>Observation 2:</w:t>
      </w:r>
    </w:p>
    <w:p w14:paraId="01E0A680" w14:textId="38BDC800" w:rsidR="002257EE" w:rsidRPr="002257EE" w:rsidRDefault="00F05427" w:rsidP="00F05427">
      <w:pPr>
        <w:rPr>
          <w:b/>
          <w:bCs/>
        </w:rPr>
      </w:pPr>
      <w:r w:rsidRPr="00AC2F9A">
        <w:rPr>
          <w:b/>
          <w:bCs/>
        </w:rPr>
        <w:t>Operation in Case 7 timing mode may require changes to the Rel-15 UL timing control for IAB nodes, which in turn may also impact the OTA timing mechanism defined in Rel-16 for IAB.</w:t>
      </w:r>
    </w:p>
    <w:p w14:paraId="47C13924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>Observation 3:</w:t>
      </w:r>
    </w:p>
    <w:p w14:paraId="5AB9FD48" w14:textId="6C9E2412" w:rsidR="00F05427" w:rsidRDefault="00F05427" w:rsidP="00F05427">
      <w:pPr>
        <w:rPr>
          <w:b/>
          <w:bCs/>
        </w:rPr>
      </w:pPr>
      <w:r w:rsidRPr="00AC2F9A">
        <w:rPr>
          <w:b/>
          <w:bCs/>
        </w:rPr>
        <w:t>The benefits of Case 6 and Case 7 timing modes may be limited in a multi-panel implementation aimed at enhanced duplexing capabilities between the IAB-MT and the IAB-DU.</w:t>
      </w:r>
      <w:r>
        <w:rPr>
          <w:b/>
          <w:bCs/>
        </w:rPr>
        <w:t xml:space="preserve"> Case 7 timing may have a higher benefit than Case 6 timing.</w:t>
      </w:r>
    </w:p>
    <w:p w14:paraId="770C7D98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4</w:t>
      </w:r>
      <w:r w:rsidRPr="00AC2F9A">
        <w:rPr>
          <w:b/>
          <w:bCs/>
          <w:u w:val="single"/>
        </w:rPr>
        <w:t>:</w:t>
      </w:r>
    </w:p>
    <w:p w14:paraId="353B2316" w14:textId="77777777" w:rsidR="00F05427" w:rsidRPr="006C2328" w:rsidRDefault="00F05427" w:rsidP="00F05427">
      <w:r>
        <w:rPr>
          <w:b/>
          <w:bCs/>
        </w:rPr>
        <w:t>Power control handling for enhanced duplexing capabilities may be handled by implementation.</w:t>
      </w:r>
    </w:p>
    <w:p w14:paraId="37289484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5</w:t>
      </w:r>
      <w:r w:rsidRPr="00AC2F9A">
        <w:rPr>
          <w:b/>
          <w:bCs/>
          <w:u w:val="single"/>
        </w:rPr>
        <w:t>:</w:t>
      </w:r>
    </w:p>
    <w:p w14:paraId="2AD6657E" w14:textId="77777777" w:rsidR="00F05427" w:rsidRDefault="00F05427" w:rsidP="00F05427">
      <w:pPr>
        <w:rPr>
          <w:b/>
          <w:bCs/>
        </w:rPr>
      </w:pPr>
      <w:r w:rsidRPr="00AC2F9A">
        <w:rPr>
          <w:b/>
          <w:bCs/>
        </w:rPr>
        <w:t xml:space="preserve">The </w:t>
      </w:r>
      <w:r>
        <w:rPr>
          <w:b/>
          <w:bCs/>
        </w:rPr>
        <w:t>interference components in case of simultaneous operation of the IAB-MT and the IAB-DU are:</w:t>
      </w:r>
    </w:p>
    <w:p w14:paraId="7E006EEF" w14:textId="77777777" w:rsidR="00F05427" w:rsidRPr="00EB0CFC" w:rsidRDefault="00F05427" w:rsidP="00F05427">
      <w:pPr>
        <w:pStyle w:val="ListParagraph"/>
        <w:numPr>
          <w:ilvl w:val="0"/>
          <w:numId w:val="38"/>
        </w:numPr>
        <w:rPr>
          <w:b/>
          <w:bCs/>
        </w:rPr>
      </w:pPr>
      <w:r w:rsidRPr="00EB0CFC">
        <w:rPr>
          <w:b/>
          <w:bCs/>
        </w:rPr>
        <w:t>Inter Cell Interference (ICI)</w:t>
      </w:r>
    </w:p>
    <w:p w14:paraId="71ACB0B2" w14:textId="77777777" w:rsidR="00F05427" w:rsidRPr="00EB0CFC" w:rsidRDefault="00F05427" w:rsidP="00F05427">
      <w:pPr>
        <w:pStyle w:val="ListParagraph"/>
        <w:numPr>
          <w:ilvl w:val="0"/>
          <w:numId w:val="38"/>
        </w:numPr>
        <w:rPr>
          <w:b/>
          <w:bCs/>
        </w:rPr>
      </w:pPr>
      <w:r w:rsidRPr="00EB0CFC">
        <w:rPr>
          <w:b/>
          <w:bCs/>
        </w:rPr>
        <w:t>Cross Link Interference (CLI)</w:t>
      </w:r>
    </w:p>
    <w:p w14:paraId="09038FD5" w14:textId="77777777" w:rsidR="00F05427" w:rsidRPr="00EB0CFC" w:rsidRDefault="00F05427" w:rsidP="00F05427">
      <w:pPr>
        <w:pStyle w:val="ListParagraph"/>
        <w:numPr>
          <w:ilvl w:val="0"/>
          <w:numId w:val="38"/>
        </w:numPr>
        <w:rPr>
          <w:b/>
          <w:bCs/>
        </w:rPr>
      </w:pPr>
      <w:r w:rsidRPr="00EB0CFC">
        <w:rPr>
          <w:b/>
          <w:bCs/>
        </w:rPr>
        <w:t>Self-interference (SI)</w:t>
      </w:r>
    </w:p>
    <w:p w14:paraId="68B198E5" w14:textId="77777777" w:rsidR="00F05427" w:rsidRDefault="00F05427" w:rsidP="00F05427">
      <w:pPr>
        <w:rPr>
          <w:b/>
          <w:bCs/>
        </w:rPr>
      </w:pPr>
      <w:r>
        <w:rPr>
          <w:b/>
          <w:bCs/>
        </w:rPr>
        <w:t>ICI</w:t>
      </w:r>
      <w:r w:rsidRPr="00EB0CFC">
        <w:rPr>
          <w:b/>
          <w:bCs/>
        </w:rPr>
        <w:t xml:space="preserve"> effects are deemed less severe and can be handled anyway with legacy solutions.</w:t>
      </w:r>
    </w:p>
    <w:p w14:paraId="00438414" w14:textId="77777777" w:rsidR="00F05427" w:rsidRDefault="00F05427" w:rsidP="00F05427">
      <w:pPr>
        <w:rPr>
          <w:b/>
          <w:bCs/>
        </w:rPr>
      </w:pPr>
      <w:r>
        <w:rPr>
          <w:b/>
          <w:bCs/>
        </w:rPr>
        <w:t xml:space="preserve">CLI is </w:t>
      </w:r>
      <w:r w:rsidRPr="00EB0CFC">
        <w:rPr>
          <w:b/>
          <w:bCs/>
        </w:rPr>
        <w:t>expected to be mitigated by the Rel-16 CLI framework, with some potential enhancements as needed.</w:t>
      </w:r>
    </w:p>
    <w:p w14:paraId="392EA28C" w14:textId="77777777" w:rsidR="00F05427" w:rsidRPr="00013B20" w:rsidRDefault="00F05427" w:rsidP="00F05427">
      <w:pPr>
        <w:rPr>
          <w:b/>
          <w:bCs/>
        </w:rPr>
      </w:pPr>
      <w:r>
        <w:rPr>
          <w:b/>
          <w:bCs/>
        </w:rPr>
        <w:t xml:space="preserve">SI </w:t>
      </w:r>
      <w:r w:rsidRPr="00EB0CFC">
        <w:rPr>
          <w:b/>
          <w:bCs/>
        </w:rPr>
        <w:t>may require further study to determine need for specific measurements to be introduced in the specification.</w:t>
      </w:r>
    </w:p>
    <w:p w14:paraId="37D06537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6</w:t>
      </w:r>
      <w:r w:rsidRPr="00AC2F9A">
        <w:rPr>
          <w:b/>
          <w:bCs/>
          <w:u w:val="single"/>
        </w:rPr>
        <w:t>:</w:t>
      </w:r>
    </w:p>
    <w:p w14:paraId="50C7BB42" w14:textId="77777777" w:rsidR="00F05427" w:rsidRDefault="00F05427" w:rsidP="00F05427">
      <w:pPr>
        <w:rPr>
          <w:b/>
          <w:bCs/>
        </w:rPr>
      </w:pPr>
      <w:r w:rsidRPr="00AC2F9A">
        <w:rPr>
          <w:b/>
          <w:bCs/>
        </w:rPr>
        <w:t>T</w:t>
      </w:r>
      <w:r>
        <w:rPr>
          <w:b/>
          <w:bCs/>
        </w:rPr>
        <w:t>he Rel-16 CLI framework has some limitations. Specifically:</w:t>
      </w:r>
    </w:p>
    <w:p w14:paraId="1967A95F" w14:textId="77777777" w:rsidR="00F05427" w:rsidRPr="00E25086" w:rsidRDefault="00F05427" w:rsidP="00F05427">
      <w:pPr>
        <w:pStyle w:val="ListParagraph"/>
        <w:numPr>
          <w:ilvl w:val="0"/>
          <w:numId w:val="40"/>
        </w:numPr>
        <w:rPr>
          <w:b/>
          <w:bCs/>
        </w:rPr>
      </w:pPr>
      <w:r>
        <w:rPr>
          <w:b/>
          <w:bCs/>
        </w:rPr>
        <w:t>There is n</w:t>
      </w:r>
      <w:r w:rsidRPr="00E25086">
        <w:rPr>
          <w:b/>
          <w:bCs/>
        </w:rPr>
        <w:t>o specified inter-CU (</w:t>
      </w:r>
      <w:proofErr w:type="spellStart"/>
      <w:r w:rsidRPr="00E25086">
        <w:rPr>
          <w:b/>
          <w:bCs/>
        </w:rPr>
        <w:t>Xn</w:t>
      </w:r>
      <w:proofErr w:type="spellEnd"/>
      <w:r w:rsidRPr="00E25086">
        <w:rPr>
          <w:b/>
          <w:bCs/>
        </w:rPr>
        <w:t xml:space="preserve">) </w:t>
      </w:r>
      <w:proofErr w:type="spellStart"/>
      <w:r w:rsidRPr="00E25086">
        <w:rPr>
          <w:b/>
          <w:bCs/>
        </w:rPr>
        <w:t>signaling</w:t>
      </w:r>
      <w:proofErr w:type="spellEnd"/>
      <w:r w:rsidRPr="00E25086">
        <w:rPr>
          <w:b/>
          <w:bCs/>
        </w:rPr>
        <w:t xml:space="preserve"> to indicate the SRS configurations for UEs/MTs’ CLI measurements. </w:t>
      </w:r>
      <w:r>
        <w:rPr>
          <w:b/>
          <w:bCs/>
        </w:rPr>
        <w:t xml:space="preserve">This is </w:t>
      </w:r>
      <w:r w:rsidRPr="00E25086">
        <w:rPr>
          <w:b/>
          <w:bCs/>
        </w:rPr>
        <w:t>a general, non-IAB-specific</w:t>
      </w:r>
      <w:r>
        <w:rPr>
          <w:b/>
          <w:bCs/>
        </w:rPr>
        <w:t>,</w:t>
      </w:r>
      <w:r w:rsidRPr="00E25086">
        <w:rPr>
          <w:b/>
          <w:bCs/>
        </w:rPr>
        <w:t xml:space="preserve"> </w:t>
      </w:r>
      <w:r>
        <w:rPr>
          <w:b/>
          <w:bCs/>
        </w:rPr>
        <w:t>issue.</w:t>
      </w:r>
    </w:p>
    <w:p w14:paraId="38D9658C" w14:textId="77777777" w:rsidR="00F05427" w:rsidRPr="00E25086" w:rsidRDefault="00F05427" w:rsidP="00F05427">
      <w:pPr>
        <w:pStyle w:val="ListParagraph"/>
        <w:numPr>
          <w:ilvl w:val="0"/>
          <w:numId w:val="40"/>
        </w:numPr>
        <w:rPr>
          <w:b/>
          <w:bCs/>
        </w:rPr>
      </w:pPr>
      <w:r w:rsidRPr="00E25086">
        <w:rPr>
          <w:b/>
          <w:bCs/>
        </w:rPr>
        <w:t>No specified inter-DU interference measurements and reporting</w:t>
      </w:r>
      <w:r>
        <w:rPr>
          <w:b/>
          <w:bCs/>
        </w:rPr>
        <w:t>.</w:t>
      </w:r>
    </w:p>
    <w:p w14:paraId="07198301" w14:textId="77777777" w:rsidR="00F05427" w:rsidRPr="00C26FFF" w:rsidRDefault="00F05427" w:rsidP="00F05427">
      <w:pPr>
        <w:pStyle w:val="ListParagraph"/>
        <w:numPr>
          <w:ilvl w:val="0"/>
          <w:numId w:val="40"/>
        </w:numPr>
        <w:rPr>
          <w:b/>
          <w:bCs/>
        </w:rPr>
      </w:pPr>
      <w:r w:rsidRPr="00E25086">
        <w:rPr>
          <w:b/>
          <w:bCs/>
        </w:rPr>
        <w:t xml:space="preserve">Rel-16 CLI </w:t>
      </w:r>
      <w:proofErr w:type="spellStart"/>
      <w:r w:rsidRPr="00E25086">
        <w:rPr>
          <w:b/>
          <w:bCs/>
        </w:rPr>
        <w:t>signaling</w:t>
      </w:r>
      <w:proofErr w:type="spellEnd"/>
      <w:r w:rsidRPr="00E25086">
        <w:rPr>
          <w:b/>
          <w:bCs/>
        </w:rPr>
        <w:t xml:space="preserve"> (intended TDD configuration) does not support IAB-specific resource configurations.</w:t>
      </w:r>
    </w:p>
    <w:p w14:paraId="146D3D29" w14:textId="77777777" w:rsidR="00F05427" w:rsidRDefault="00F05427" w:rsidP="00F05427"/>
    <w:p w14:paraId="46A043B8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>Proposal 1:</w:t>
      </w:r>
    </w:p>
    <w:p w14:paraId="0D52C08A" w14:textId="77777777" w:rsidR="00F05427" w:rsidRPr="00AC2F9A" w:rsidRDefault="00F05427" w:rsidP="00F05427">
      <w:pPr>
        <w:rPr>
          <w:b/>
          <w:bCs/>
        </w:rPr>
      </w:pPr>
      <w:proofErr w:type="spellStart"/>
      <w:r w:rsidRPr="00AC2F9A">
        <w:rPr>
          <w:b/>
          <w:bCs/>
        </w:rPr>
        <w:t>Downselect</w:t>
      </w:r>
      <w:proofErr w:type="spellEnd"/>
      <w:r w:rsidRPr="00AC2F9A">
        <w:rPr>
          <w:b/>
          <w:bCs/>
        </w:rPr>
        <w:t xml:space="preserve"> one of the following:</w:t>
      </w:r>
    </w:p>
    <w:p w14:paraId="3AB127AE" w14:textId="77777777" w:rsidR="00F05427" w:rsidRPr="00AC2F9A" w:rsidRDefault="00F05427" w:rsidP="00F05427">
      <w:pPr>
        <w:pStyle w:val="ListParagraph"/>
        <w:numPr>
          <w:ilvl w:val="0"/>
          <w:numId w:val="39"/>
        </w:numPr>
        <w:rPr>
          <w:b/>
          <w:bCs/>
        </w:rPr>
      </w:pPr>
      <w:r w:rsidRPr="00AC2F9A">
        <w:rPr>
          <w:b/>
          <w:bCs/>
        </w:rPr>
        <w:t>Alt 1: adopt Case 1 as the only timing mode.</w:t>
      </w:r>
    </w:p>
    <w:p w14:paraId="394C04DE" w14:textId="77777777" w:rsidR="00F05427" w:rsidRPr="00AC2F9A" w:rsidRDefault="00F05427" w:rsidP="00F05427">
      <w:pPr>
        <w:pStyle w:val="ListParagraph"/>
        <w:numPr>
          <w:ilvl w:val="0"/>
          <w:numId w:val="39"/>
        </w:numPr>
        <w:rPr>
          <w:b/>
          <w:bCs/>
        </w:rPr>
      </w:pPr>
      <w:r w:rsidRPr="00AC2F9A">
        <w:rPr>
          <w:b/>
          <w:bCs/>
        </w:rPr>
        <w:t xml:space="preserve">Alt 2: quantify the benefits of Case 7 timing mode to determine whether such benefits are sufficient to justify the additional complexity. </w:t>
      </w:r>
    </w:p>
    <w:p w14:paraId="22602D6E" w14:textId="64EDD907" w:rsidR="002257EE" w:rsidRDefault="00F05427" w:rsidP="00726DFD">
      <w:pPr>
        <w:pStyle w:val="ListParagraph"/>
        <w:numPr>
          <w:ilvl w:val="0"/>
          <w:numId w:val="39"/>
        </w:numPr>
      </w:pPr>
      <w:r w:rsidRPr="00AC2F9A">
        <w:rPr>
          <w:b/>
          <w:bCs/>
        </w:rPr>
        <w:t>Alt 3: quantify the benefits of Case 6 and Case 7 timing modes to determine whether such benefits are sufficient to justify the additional complexity.</w:t>
      </w:r>
    </w:p>
    <w:p w14:paraId="2FED7429" w14:textId="77777777" w:rsidR="00F05427" w:rsidRPr="00AC2F9A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AC2F9A">
        <w:rPr>
          <w:b/>
          <w:bCs/>
          <w:u w:val="single"/>
        </w:rPr>
        <w:t>:</w:t>
      </w:r>
    </w:p>
    <w:p w14:paraId="438E1AF1" w14:textId="77777777" w:rsidR="00F05427" w:rsidRDefault="00F05427" w:rsidP="00F05427">
      <w:pPr>
        <w:rPr>
          <w:b/>
          <w:bCs/>
        </w:rPr>
      </w:pPr>
      <w:r w:rsidRPr="00C26FFF">
        <w:rPr>
          <w:b/>
          <w:bCs/>
        </w:rPr>
        <w:t xml:space="preserve">Specify enhancements to Rel-16 CLI to guarantee inter-operability and </w:t>
      </w:r>
      <w:r>
        <w:rPr>
          <w:b/>
          <w:bCs/>
        </w:rPr>
        <w:t>efficiency</w:t>
      </w:r>
      <w:r w:rsidRPr="00C26FFF">
        <w:rPr>
          <w:b/>
          <w:bCs/>
        </w:rPr>
        <w:t>. Details are FFS.</w:t>
      </w:r>
    </w:p>
    <w:p w14:paraId="3DAC656B" w14:textId="77777777" w:rsidR="00F05427" w:rsidRPr="00C26FFF" w:rsidRDefault="00F05427" w:rsidP="00F05427">
      <w:pPr>
        <w:rPr>
          <w:b/>
          <w:bCs/>
          <w:u w:val="single"/>
        </w:rPr>
      </w:pPr>
      <w:r w:rsidRPr="00AC2F9A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 w:rsidRPr="00AC2F9A">
        <w:rPr>
          <w:b/>
          <w:bCs/>
          <w:u w:val="single"/>
        </w:rPr>
        <w:t>:</w:t>
      </w:r>
    </w:p>
    <w:p w14:paraId="19BB99DB" w14:textId="77777777" w:rsidR="00F05427" w:rsidRPr="00C26FFF" w:rsidRDefault="00F05427" w:rsidP="00F05427">
      <w:pPr>
        <w:rPr>
          <w:b/>
          <w:bCs/>
        </w:rPr>
      </w:pPr>
      <w:r w:rsidRPr="00C26FFF">
        <w:rPr>
          <w:b/>
          <w:bCs/>
        </w:rPr>
        <w:t>Determine whether specific SI measurements are needed.</w:t>
      </w:r>
    </w:p>
    <w:p w14:paraId="4D0A342F" w14:textId="77777777" w:rsidR="00F05427" w:rsidRDefault="00F05427" w:rsidP="00F05427">
      <w:pPr>
        <w:rPr>
          <w:b/>
          <w:bCs/>
        </w:rPr>
      </w:pPr>
    </w:p>
    <w:p w14:paraId="5EBB9FE4" w14:textId="77777777" w:rsidR="00D14BA0" w:rsidRDefault="00D14BA0" w:rsidP="00D14BA0">
      <w:pPr>
        <w:pStyle w:val="Heading3"/>
      </w:pPr>
      <w:r>
        <w:t>References</w:t>
      </w:r>
    </w:p>
    <w:p w14:paraId="5EF1D0E2" w14:textId="77777777" w:rsidR="00515823" w:rsidRPr="00860A73" w:rsidRDefault="0066284A" w:rsidP="0066284A">
      <w:pPr>
        <w:rPr>
          <w:sz w:val="18"/>
        </w:rPr>
      </w:pPr>
      <w:r w:rsidRPr="00860A73">
        <w:rPr>
          <w:sz w:val="18"/>
        </w:rPr>
        <w:t>[1]</w:t>
      </w:r>
      <w:r w:rsidRPr="00860A73">
        <w:rPr>
          <w:sz w:val="18"/>
        </w:rPr>
        <w:tab/>
      </w:r>
      <w:r w:rsidRPr="00860A73">
        <w:rPr>
          <w:sz w:val="18"/>
        </w:rPr>
        <w:tab/>
      </w:r>
      <w:r w:rsidR="000E2209" w:rsidRPr="000E2209">
        <w:rPr>
          <w:sz w:val="18"/>
        </w:rPr>
        <w:t xml:space="preserve">RP-201293: Revised WID for </w:t>
      </w:r>
      <w:proofErr w:type="spellStart"/>
      <w:r w:rsidR="000E2209" w:rsidRPr="000E2209">
        <w:rPr>
          <w:sz w:val="18"/>
        </w:rPr>
        <w:t>NR_IAB_enh</w:t>
      </w:r>
      <w:proofErr w:type="spellEnd"/>
      <w:r w:rsidR="000E2209" w:rsidRPr="000E2209">
        <w:rPr>
          <w:sz w:val="18"/>
        </w:rPr>
        <w:t>; TSG RAN Meeting #88, Electronic Meeting, June 29 - July 3, 2020</w:t>
      </w:r>
    </w:p>
    <w:p w14:paraId="2D7D71B0" w14:textId="77777777" w:rsidR="00BD62C8" w:rsidRPr="009B5DA9" w:rsidRDefault="00BD62C8" w:rsidP="009E1DB0"/>
    <w:sectPr w:rsidR="00BD62C8" w:rsidRPr="009B5D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76EC0" w14:textId="77777777" w:rsidR="00044AFF" w:rsidRDefault="00044AFF">
      <w:pPr>
        <w:spacing w:after="0"/>
      </w:pPr>
      <w:r>
        <w:separator/>
      </w:r>
    </w:p>
  </w:endnote>
  <w:endnote w:type="continuationSeparator" w:id="0">
    <w:p w14:paraId="7170B9FE" w14:textId="77777777" w:rsidR="00044AFF" w:rsidRDefault="00044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616AD" w14:textId="77777777" w:rsidR="00F05427" w:rsidRDefault="00F05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7A4D5" w14:textId="77777777" w:rsidR="00F05427" w:rsidRDefault="00F05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F4746" w14:textId="77777777" w:rsidR="00F05427" w:rsidRDefault="00F05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63AB9" w14:textId="77777777" w:rsidR="00044AFF" w:rsidRDefault="00044AFF">
      <w:pPr>
        <w:spacing w:after="0"/>
      </w:pPr>
      <w:r>
        <w:separator/>
      </w:r>
    </w:p>
  </w:footnote>
  <w:footnote w:type="continuationSeparator" w:id="0">
    <w:p w14:paraId="5F9D52E9" w14:textId="77777777" w:rsidR="00044AFF" w:rsidRDefault="00044A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90C9C" w14:textId="77777777" w:rsidR="00E25086" w:rsidRDefault="00E250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11541" w14:textId="77777777" w:rsidR="00F05427" w:rsidRDefault="00F05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47455" w14:textId="77777777" w:rsidR="00F05427" w:rsidRDefault="00F05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41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31CB"/>
    <w:multiLevelType w:val="hybridMultilevel"/>
    <w:tmpl w:val="015A4C58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B0D2E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E5A0A"/>
    <w:multiLevelType w:val="hybridMultilevel"/>
    <w:tmpl w:val="D2AA4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8A0073"/>
    <w:multiLevelType w:val="hybridMultilevel"/>
    <w:tmpl w:val="138663D0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1E38"/>
    <w:multiLevelType w:val="hybridMultilevel"/>
    <w:tmpl w:val="89E0F76A"/>
    <w:lvl w:ilvl="0" w:tplc="6A7A23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4A25F0"/>
    <w:multiLevelType w:val="hybridMultilevel"/>
    <w:tmpl w:val="5DDE64C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71F7E"/>
    <w:multiLevelType w:val="hybridMultilevel"/>
    <w:tmpl w:val="DA545EC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553BB0"/>
    <w:multiLevelType w:val="hybridMultilevel"/>
    <w:tmpl w:val="3A927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E4B"/>
    <w:multiLevelType w:val="hybridMultilevel"/>
    <w:tmpl w:val="1A14C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E76CE1"/>
    <w:multiLevelType w:val="hybridMultilevel"/>
    <w:tmpl w:val="C100D3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02575"/>
    <w:multiLevelType w:val="hybridMultilevel"/>
    <w:tmpl w:val="5A3E97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451D13"/>
    <w:multiLevelType w:val="hybridMultilevel"/>
    <w:tmpl w:val="4AC4D04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D2847"/>
    <w:multiLevelType w:val="hybridMultilevel"/>
    <w:tmpl w:val="C552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C1D99"/>
    <w:multiLevelType w:val="hybridMultilevel"/>
    <w:tmpl w:val="AF84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96530"/>
    <w:multiLevelType w:val="hybridMultilevel"/>
    <w:tmpl w:val="5976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7764388"/>
    <w:multiLevelType w:val="hybridMultilevel"/>
    <w:tmpl w:val="B210B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D323C"/>
    <w:multiLevelType w:val="hybridMultilevel"/>
    <w:tmpl w:val="DA6282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FE6433"/>
    <w:multiLevelType w:val="hybridMultilevel"/>
    <w:tmpl w:val="6E2E6A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A3C87"/>
    <w:multiLevelType w:val="hybridMultilevel"/>
    <w:tmpl w:val="7ED4EA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843B22"/>
    <w:multiLevelType w:val="hybridMultilevel"/>
    <w:tmpl w:val="8D5CAD24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5" w15:restartNumberingAfterBreak="0">
    <w:nsid w:val="51347DF0"/>
    <w:multiLevelType w:val="hybridMultilevel"/>
    <w:tmpl w:val="7CEE5A7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6E3E16"/>
    <w:multiLevelType w:val="hybridMultilevel"/>
    <w:tmpl w:val="1A40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E2E2C"/>
    <w:multiLevelType w:val="hybridMultilevel"/>
    <w:tmpl w:val="1BF01848"/>
    <w:lvl w:ilvl="0" w:tplc="4010F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54E85"/>
    <w:multiLevelType w:val="hybridMultilevel"/>
    <w:tmpl w:val="A924583C"/>
    <w:lvl w:ilvl="0" w:tplc="D79037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B730D2"/>
    <w:multiLevelType w:val="hybridMultilevel"/>
    <w:tmpl w:val="2BF83C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3D50E5"/>
    <w:multiLevelType w:val="hybridMultilevel"/>
    <w:tmpl w:val="5554E2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1B1390"/>
    <w:multiLevelType w:val="hybridMultilevel"/>
    <w:tmpl w:val="826280F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24124B"/>
    <w:multiLevelType w:val="hybridMultilevel"/>
    <w:tmpl w:val="F688735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AB10DD"/>
    <w:multiLevelType w:val="hybridMultilevel"/>
    <w:tmpl w:val="3F700E6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8C768F3"/>
    <w:multiLevelType w:val="hybridMultilevel"/>
    <w:tmpl w:val="02F4A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DA22752"/>
    <w:multiLevelType w:val="hybridMultilevel"/>
    <w:tmpl w:val="38F0D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7A111E"/>
    <w:multiLevelType w:val="hybridMultilevel"/>
    <w:tmpl w:val="E4AAF6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287520"/>
    <w:multiLevelType w:val="hybridMultilevel"/>
    <w:tmpl w:val="2DBE3F7C"/>
    <w:lvl w:ilvl="0" w:tplc="DE748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38"/>
  </w:num>
  <w:num w:numId="5">
    <w:abstractNumId w:val="26"/>
  </w:num>
  <w:num w:numId="6">
    <w:abstractNumId w:val="10"/>
  </w:num>
  <w:num w:numId="7">
    <w:abstractNumId w:val="17"/>
  </w:num>
  <w:num w:numId="8">
    <w:abstractNumId w:val="19"/>
  </w:num>
  <w:num w:numId="9">
    <w:abstractNumId w:val="12"/>
  </w:num>
  <w:num w:numId="10">
    <w:abstractNumId w:val="14"/>
  </w:num>
  <w:num w:numId="11">
    <w:abstractNumId w:val="7"/>
  </w:num>
  <w:num w:numId="12">
    <w:abstractNumId w:val="31"/>
  </w:num>
  <w:num w:numId="13">
    <w:abstractNumId w:val="37"/>
  </w:num>
  <w:num w:numId="14">
    <w:abstractNumId w:val="11"/>
  </w:num>
  <w:num w:numId="15">
    <w:abstractNumId w:val="36"/>
  </w:num>
  <w:num w:numId="16">
    <w:abstractNumId w:val="21"/>
  </w:num>
  <w:num w:numId="17">
    <w:abstractNumId w:val="27"/>
  </w:num>
  <w:num w:numId="18">
    <w:abstractNumId w:val="2"/>
  </w:num>
  <w:num w:numId="19">
    <w:abstractNumId w:val="39"/>
  </w:num>
  <w:num w:numId="20">
    <w:abstractNumId w:val="13"/>
  </w:num>
  <w:num w:numId="21">
    <w:abstractNumId w:val="22"/>
  </w:num>
  <w:num w:numId="22">
    <w:abstractNumId w:val="4"/>
  </w:num>
  <w:num w:numId="23">
    <w:abstractNumId w:val="6"/>
  </w:num>
  <w:num w:numId="24">
    <w:abstractNumId w:val="0"/>
  </w:num>
  <w:num w:numId="25">
    <w:abstractNumId w:val="32"/>
  </w:num>
  <w:num w:numId="26">
    <w:abstractNumId w:val="15"/>
  </w:num>
  <w:num w:numId="27">
    <w:abstractNumId w:val="25"/>
  </w:num>
  <w:num w:numId="28">
    <w:abstractNumId w:val="24"/>
  </w:num>
  <w:num w:numId="29">
    <w:abstractNumId w:val="16"/>
  </w:num>
  <w:num w:numId="30">
    <w:abstractNumId w:val="35"/>
  </w:num>
  <w:num w:numId="31">
    <w:abstractNumId w:val="18"/>
  </w:num>
  <w:num w:numId="32">
    <w:abstractNumId w:val="3"/>
  </w:num>
  <w:num w:numId="33">
    <w:abstractNumId w:val="8"/>
  </w:num>
  <w:num w:numId="34">
    <w:abstractNumId w:val="1"/>
  </w:num>
  <w:num w:numId="35">
    <w:abstractNumId w:val="30"/>
  </w:num>
  <w:num w:numId="36">
    <w:abstractNumId w:val="9"/>
  </w:num>
  <w:num w:numId="37">
    <w:abstractNumId w:val="34"/>
  </w:num>
  <w:num w:numId="38">
    <w:abstractNumId w:val="29"/>
  </w:num>
  <w:num w:numId="39">
    <w:abstractNumId w:val="2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hideSpellingErrors/>
  <w:activeWritingStyle w:appName="MSWord" w:lang="en-GB" w:vendorID="64" w:dllVersion="0" w:nlCheck="1" w:checkStyle="0"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AC"/>
    <w:rsid w:val="00007B6D"/>
    <w:rsid w:val="00013B20"/>
    <w:rsid w:val="00013C33"/>
    <w:rsid w:val="00044AFF"/>
    <w:rsid w:val="00047275"/>
    <w:rsid w:val="00050DEB"/>
    <w:rsid w:val="00053746"/>
    <w:rsid w:val="000557B8"/>
    <w:rsid w:val="000621C1"/>
    <w:rsid w:val="000729EC"/>
    <w:rsid w:val="00074FD0"/>
    <w:rsid w:val="00076F6F"/>
    <w:rsid w:val="00083A9B"/>
    <w:rsid w:val="00084114"/>
    <w:rsid w:val="00085AA8"/>
    <w:rsid w:val="00087C72"/>
    <w:rsid w:val="000952DC"/>
    <w:rsid w:val="000A4826"/>
    <w:rsid w:val="000A657E"/>
    <w:rsid w:val="000A7CCE"/>
    <w:rsid w:val="000B482E"/>
    <w:rsid w:val="000B5BE2"/>
    <w:rsid w:val="000B7D94"/>
    <w:rsid w:val="000C1B14"/>
    <w:rsid w:val="000D1557"/>
    <w:rsid w:val="000D3889"/>
    <w:rsid w:val="000D3EC1"/>
    <w:rsid w:val="000E0706"/>
    <w:rsid w:val="000E2209"/>
    <w:rsid w:val="000F50D7"/>
    <w:rsid w:val="000F65EE"/>
    <w:rsid w:val="001050AE"/>
    <w:rsid w:val="00106C9F"/>
    <w:rsid w:val="00111701"/>
    <w:rsid w:val="0011202B"/>
    <w:rsid w:val="00115503"/>
    <w:rsid w:val="00122A1C"/>
    <w:rsid w:val="0012597C"/>
    <w:rsid w:val="00131C46"/>
    <w:rsid w:val="00132FEA"/>
    <w:rsid w:val="00141159"/>
    <w:rsid w:val="00141606"/>
    <w:rsid w:val="001479C1"/>
    <w:rsid w:val="00152200"/>
    <w:rsid w:val="00152F18"/>
    <w:rsid w:val="001632E3"/>
    <w:rsid w:val="00167815"/>
    <w:rsid w:val="00192C21"/>
    <w:rsid w:val="00193028"/>
    <w:rsid w:val="001A0374"/>
    <w:rsid w:val="001A4207"/>
    <w:rsid w:val="001A5C73"/>
    <w:rsid w:val="001B243F"/>
    <w:rsid w:val="001C3AED"/>
    <w:rsid w:val="001D5617"/>
    <w:rsid w:val="001E3173"/>
    <w:rsid w:val="001E4714"/>
    <w:rsid w:val="001E7ACC"/>
    <w:rsid w:val="00201C93"/>
    <w:rsid w:val="002145BA"/>
    <w:rsid w:val="00214BAD"/>
    <w:rsid w:val="00215133"/>
    <w:rsid w:val="00217274"/>
    <w:rsid w:val="0022026D"/>
    <w:rsid w:val="002208A7"/>
    <w:rsid w:val="00221B24"/>
    <w:rsid w:val="00221EA3"/>
    <w:rsid w:val="00222CF1"/>
    <w:rsid w:val="00225710"/>
    <w:rsid w:val="002257EE"/>
    <w:rsid w:val="002314EA"/>
    <w:rsid w:val="00233BA2"/>
    <w:rsid w:val="002349E6"/>
    <w:rsid w:val="002351A0"/>
    <w:rsid w:val="00237B7F"/>
    <w:rsid w:val="00240EFB"/>
    <w:rsid w:val="0024577D"/>
    <w:rsid w:val="00255134"/>
    <w:rsid w:val="00257ED9"/>
    <w:rsid w:val="002661A0"/>
    <w:rsid w:val="002665D7"/>
    <w:rsid w:val="00267B52"/>
    <w:rsid w:val="0027025B"/>
    <w:rsid w:val="002706B5"/>
    <w:rsid w:val="00270D09"/>
    <w:rsid w:val="00274E14"/>
    <w:rsid w:val="00275CA4"/>
    <w:rsid w:val="0027710A"/>
    <w:rsid w:val="002832C2"/>
    <w:rsid w:val="0028666A"/>
    <w:rsid w:val="00292489"/>
    <w:rsid w:val="00292740"/>
    <w:rsid w:val="0029339C"/>
    <w:rsid w:val="002A03A3"/>
    <w:rsid w:val="002A4F5D"/>
    <w:rsid w:val="002A689D"/>
    <w:rsid w:val="002A6F13"/>
    <w:rsid w:val="002B1079"/>
    <w:rsid w:val="002B1728"/>
    <w:rsid w:val="002B4616"/>
    <w:rsid w:val="002B4EC6"/>
    <w:rsid w:val="002C53D8"/>
    <w:rsid w:val="002C70B3"/>
    <w:rsid w:val="002D1594"/>
    <w:rsid w:val="002D444E"/>
    <w:rsid w:val="002D44EA"/>
    <w:rsid w:val="002E7E1E"/>
    <w:rsid w:val="002F1808"/>
    <w:rsid w:val="002F2F8E"/>
    <w:rsid w:val="00310FD8"/>
    <w:rsid w:val="00311061"/>
    <w:rsid w:val="00314A05"/>
    <w:rsid w:val="00320A5A"/>
    <w:rsid w:val="003424FC"/>
    <w:rsid w:val="00346C5C"/>
    <w:rsid w:val="00351C6C"/>
    <w:rsid w:val="003568AC"/>
    <w:rsid w:val="00362814"/>
    <w:rsid w:val="00371004"/>
    <w:rsid w:val="00385C12"/>
    <w:rsid w:val="00394956"/>
    <w:rsid w:val="003A33BD"/>
    <w:rsid w:val="003A6CBF"/>
    <w:rsid w:val="003A7171"/>
    <w:rsid w:val="003B0187"/>
    <w:rsid w:val="003B0F09"/>
    <w:rsid w:val="003B6C1F"/>
    <w:rsid w:val="003B7919"/>
    <w:rsid w:val="003C129D"/>
    <w:rsid w:val="003D0FED"/>
    <w:rsid w:val="003E2411"/>
    <w:rsid w:val="003E36C9"/>
    <w:rsid w:val="003F642D"/>
    <w:rsid w:val="003F7BA1"/>
    <w:rsid w:val="003F7F51"/>
    <w:rsid w:val="00402E59"/>
    <w:rsid w:val="00403FDB"/>
    <w:rsid w:val="0041035F"/>
    <w:rsid w:val="004151A0"/>
    <w:rsid w:val="00422CFF"/>
    <w:rsid w:val="004301FF"/>
    <w:rsid w:val="00431888"/>
    <w:rsid w:val="00432329"/>
    <w:rsid w:val="0043366F"/>
    <w:rsid w:val="0044100D"/>
    <w:rsid w:val="004415E1"/>
    <w:rsid w:val="00441789"/>
    <w:rsid w:val="00446E8A"/>
    <w:rsid w:val="0044799D"/>
    <w:rsid w:val="00451D9F"/>
    <w:rsid w:val="004713DD"/>
    <w:rsid w:val="004750C4"/>
    <w:rsid w:val="00477686"/>
    <w:rsid w:val="00484708"/>
    <w:rsid w:val="00496D28"/>
    <w:rsid w:val="004A239B"/>
    <w:rsid w:val="004A6938"/>
    <w:rsid w:val="004B085E"/>
    <w:rsid w:val="004B21D8"/>
    <w:rsid w:val="004B3650"/>
    <w:rsid w:val="004B4705"/>
    <w:rsid w:val="004C1E55"/>
    <w:rsid w:val="004D1871"/>
    <w:rsid w:val="004D1EBF"/>
    <w:rsid w:val="004D3D3F"/>
    <w:rsid w:val="004D5882"/>
    <w:rsid w:val="004E5E6A"/>
    <w:rsid w:val="004E79F0"/>
    <w:rsid w:val="004F4239"/>
    <w:rsid w:val="004F4BF6"/>
    <w:rsid w:val="004F51D1"/>
    <w:rsid w:val="00500536"/>
    <w:rsid w:val="00501AAC"/>
    <w:rsid w:val="0050376D"/>
    <w:rsid w:val="005119FF"/>
    <w:rsid w:val="00511EAC"/>
    <w:rsid w:val="00515823"/>
    <w:rsid w:val="00523CDE"/>
    <w:rsid w:val="0052442B"/>
    <w:rsid w:val="00532388"/>
    <w:rsid w:val="005328F7"/>
    <w:rsid w:val="00532A09"/>
    <w:rsid w:val="00534608"/>
    <w:rsid w:val="00535D92"/>
    <w:rsid w:val="00544347"/>
    <w:rsid w:val="00546D87"/>
    <w:rsid w:val="005506F0"/>
    <w:rsid w:val="0055272A"/>
    <w:rsid w:val="00557397"/>
    <w:rsid w:val="005603E9"/>
    <w:rsid w:val="00560E90"/>
    <w:rsid w:val="005666E5"/>
    <w:rsid w:val="00581FD9"/>
    <w:rsid w:val="005868A5"/>
    <w:rsid w:val="00594203"/>
    <w:rsid w:val="005A01BD"/>
    <w:rsid w:val="005A2ED9"/>
    <w:rsid w:val="005A2F39"/>
    <w:rsid w:val="005A62B1"/>
    <w:rsid w:val="005A6C5B"/>
    <w:rsid w:val="005B1F0C"/>
    <w:rsid w:val="005B2CF7"/>
    <w:rsid w:val="005B2FBA"/>
    <w:rsid w:val="005B619E"/>
    <w:rsid w:val="005C2E29"/>
    <w:rsid w:val="005C56FA"/>
    <w:rsid w:val="005C7A37"/>
    <w:rsid w:val="005C7D1B"/>
    <w:rsid w:val="005D5E48"/>
    <w:rsid w:val="005D6344"/>
    <w:rsid w:val="005D6D0F"/>
    <w:rsid w:val="005D789A"/>
    <w:rsid w:val="005E3769"/>
    <w:rsid w:val="005F0157"/>
    <w:rsid w:val="005F4F38"/>
    <w:rsid w:val="005F5FA1"/>
    <w:rsid w:val="005F7080"/>
    <w:rsid w:val="00605B49"/>
    <w:rsid w:val="00607ECC"/>
    <w:rsid w:val="0061252A"/>
    <w:rsid w:val="00614821"/>
    <w:rsid w:val="00626721"/>
    <w:rsid w:val="00630470"/>
    <w:rsid w:val="00642E69"/>
    <w:rsid w:val="006435F1"/>
    <w:rsid w:val="00645A16"/>
    <w:rsid w:val="006463E5"/>
    <w:rsid w:val="006502A4"/>
    <w:rsid w:val="006505D2"/>
    <w:rsid w:val="00652213"/>
    <w:rsid w:val="00652637"/>
    <w:rsid w:val="006527DE"/>
    <w:rsid w:val="0066284A"/>
    <w:rsid w:val="00667D51"/>
    <w:rsid w:val="00680C36"/>
    <w:rsid w:val="00681845"/>
    <w:rsid w:val="00682FB5"/>
    <w:rsid w:val="00683917"/>
    <w:rsid w:val="0069086B"/>
    <w:rsid w:val="00691CC8"/>
    <w:rsid w:val="00694482"/>
    <w:rsid w:val="006A02C1"/>
    <w:rsid w:val="006A6664"/>
    <w:rsid w:val="006A7B67"/>
    <w:rsid w:val="006B22CD"/>
    <w:rsid w:val="006B2E83"/>
    <w:rsid w:val="006C2328"/>
    <w:rsid w:val="006C47C0"/>
    <w:rsid w:val="006C493A"/>
    <w:rsid w:val="006C5B54"/>
    <w:rsid w:val="006D1B64"/>
    <w:rsid w:val="006D2521"/>
    <w:rsid w:val="006D34A0"/>
    <w:rsid w:val="006E1BB1"/>
    <w:rsid w:val="006E3B16"/>
    <w:rsid w:val="006E52F1"/>
    <w:rsid w:val="006F55F7"/>
    <w:rsid w:val="00701F1D"/>
    <w:rsid w:val="00706194"/>
    <w:rsid w:val="00711724"/>
    <w:rsid w:val="00712C96"/>
    <w:rsid w:val="007144BE"/>
    <w:rsid w:val="00716DF0"/>
    <w:rsid w:val="007223E6"/>
    <w:rsid w:val="00726DFD"/>
    <w:rsid w:val="0072747A"/>
    <w:rsid w:val="00731D1A"/>
    <w:rsid w:val="00735296"/>
    <w:rsid w:val="007458D9"/>
    <w:rsid w:val="00752CF6"/>
    <w:rsid w:val="0075390D"/>
    <w:rsid w:val="00756C5D"/>
    <w:rsid w:val="00763D8A"/>
    <w:rsid w:val="00763F22"/>
    <w:rsid w:val="0076406C"/>
    <w:rsid w:val="0076589E"/>
    <w:rsid w:val="00773BE3"/>
    <w:rsid w:val="007874EB"/>
    <w:rsid w:val="00793FA3"/>
    <w:rsid w:val="00795F98"/>
    <w:rsid w:val="007A1AF7"/>
    <w:rsid w:val="007A2FD2"/>
    <w:rsid w:val="007B12BC"/>
    <w:rsid w:val="007D4247"/>
    <w:rsid w:val="007D57E3"/>
    <w:rsid w:val="007D5EA6"/>
    <w:rsid w:val="007E010C"/>
    <w:rsid w:val="007F574F"/>
    <w:rsid w:val="00801FB5"/>
    <w:rsid w:val="0080235B"/>
    <w:rsid w:val="008051F8"/>
    <w:rsid w:val="00806EAC"/>
    <w:rsid w:val="008109D1"/>
    <w:rsid w:val="00821BB4"/>
    <w:rsid w:val="00822C55"/>
    <w:rsid w:val="008254F8"/>
    <w:rsid w:val="00856866"/>
    <w:rsid w:val="00857943"/>
    <w:rsid w:val="00860A73"/>
    <w:rsid w:val="00862525"/>
    <w:rsid w:val="0086530D"/>
    <w:rsid w:val="00865F74"/>
    <w:rsid w:val="00867537"/>
    <w:rsid w:val="00875592"/>
    <w:rsid w:val="00880F5D"/>
    <w:rsid w:val="00882466"/>
    <w:rsid w:val="0088470A"/>
    <w:rsid w:val="00891261"/>
    <w:rsid w:val="00896AC9"/>
    <w:rsid w:val="00897207"/>
    <w:rsid w:val="008A0CA6"/>
    <w:rsid w:val="008A17F1"/>
    <w:rsid w:val="008A2B55"/>
    <w:rsid w:val="008A59E9"/>
    <w:rsid w:val="008B1B06"/>
    <w:rsid w:val="008B54CB"/>
    <w:rsid w:val="008B67D2"/>
    <w:rsid w:val="008B6C57"/>
    <w:rsid w:val="008B71BC"/>
    <w:rsid w:val="008C02B5"/>
    <w:rsid w:val="008C1E35"/>
    <w:rsid w:val="008C5331"/>
    <w:rsid w:val="008D629D"/>
    <w:rsid w:val="008E333E"/>
    <w:rsid w:val="008F26AA"/>
    <w:rsid w:val="008F2768"/>
    <w:rsid w:val="008F7101"/>
    <w:rsid w:val="008F7E90"/>
    <w:rsid w:val="009064A7"/>
    <w:rsid w:val="00921746"/>
    <w:rsid w:val="0093245F"/>
    <w:rsid w:val="00937091"/>
    <w:rsid w:val="00942324"/>
    <w:rsid w:val="00942593"/>
    <w:rsid w:val="00944145"/>
    <w:rsid w:val="00945502"/>
    <w:rsid w:val="00947B92"/>
    <w:rsid w:val="00950F6F"/>
    <w:rsid w:val="00951CAB"/>
    <w:rsid w:val="00955D88"/>
    <w:rsid w:val="00963D7D"/>
    <w:rsid w:val="009648F7"/>
    <w:rsid w:val="00971EDC"/>
    <w:rsid w:val="009735A9"/>
    <w:rsid w:val="009739A5"/>
    <w:rsid w:val="0097408A"/>
    <w:rsid w:val="00976905"/>
    <w:rsid w:val="00977181"/>
    <w:rsid w:val="00991F05"/>
    <w:rsid w:val="009A3624"/>
    <w:rsid w:val="009A66F9"/>
    <w:rsid w:val="009A76B8"/>
    <w:rsid w:val="009B5DA9"/>
    <w:rsid w:val="009C1B86"/>
    <w:rsid w:val="009D3347"/>
    <w:rsid w:val="009D4796"/>
    <w:rsid w:val="009D5D51"/>
    <w:rsid w:val="009E1DB0"/>
    <w:rsid w:val="009E1DD9"/>
    <w:rsid w:val="009F56C2"/>
    <w:rsid w:val="00A0267F"/>
    <w:rsid w:val="00A03A17"/>
    <w:rsid w:val="00A0430E"/>
    <w:rsid w:val="00A072E6"/>
    <w:rsid w:val="00A11C09"/>
    <w:rsid w:val="00A123EA"/>
    <w:rsid w:val="00A12FD1"/>
    <w:rsid w:val="00A14D6C"/>
    <w:rsid w:val="00A159E4"/>
    <w:rsid w:val="00A20A0E"/>
    <w:rsid w:val="00A242C1"/>
    <w:rsid w:val="00A245F7"/>
    <w:rsid w:val="00A26D08"/>
    <w:rsid w:val="00A31C9B"/>
    <w:rsid w:val="00A3298C"/>
    <w:rsid w:val="00A368D1"/>
    <w:rsid w:val="00A37176"/>
    <w:rsid w:val="00A42AF8"/>
    <w:rsid w:val="00A43992"/>
    <w:rsid w:val="00A524EE"/>
    <w:rsid w:val="00A56066"/>
    <w:rsid w:val="00A57DD3"/>
    <w:rsid w:val="00A678AF"/>
    <w:rsid w:val="00A868E9"/>
    <w:rsid w:val="00A86A9F"/>
    <w:rsid w:val="00A873C4"/>
    <w:rsid w:val="00A87D42"/>
    <w:rsid w:val="00A95747"/>
    <w:rsid w:val="00A9671D"/>
    <w:rsid w:val="00A976AC"/>
    <w:rsid w:val="00A97C3A"/>
    <w:rsid w:val="00AA0C63"/>
    <w:rsid w:val="00AA1745"/>
    <w:rsid w:val="00AA1ADD"/>
    <w:rsid w:val="00AA1F6B"/>
    <w:rsid w:val="00AA42A1"/>
    <w:rsid w:val="00AA76C2"/>
    <w:rsid w:val="00AB1C08"/>
    <w:rsid w:val="00AC17FA"/>
    <w:rsid w:val="00AC2F9A"/>
    <w:rsid w:val="00AD2177"/>
    <w:rsid w:val="00AE1AAC"/>
    <w:rsid w:val="00AE1CB2"/>
    <w:rsid w:val="00AE1D96"/>
    <w:rsid w:val="00AE3D9D"/>
    <w:rsid w:val="00AE7BAA"/>
    <w:rsid w:val="00AF0340"/>
    <w:rsid w:val="00AF202E"/>
    <w:rsid w:val="00AF3348"/>
    <w:rsid w:val="00AF543F"/>
    <w:rsid w:val="00B03A61"/>
    <w:rsid w:val="00B06CE5"/>
    <w:rsid w:val="00B107DA"/>
    <w:rsid w:val="00B171E8"/>
    <w:rsid w:val="00B17257"/>
    <w:rsid w:val="00B21C95"/>
    <w:rsid w:val="00B221C3"/>
    <w:rsid w:val="00B30F80"/>
    <w:rsid w:val="00B335EB"/>
    <w:rsid w:val="00B36CA2"/>
    <w:rsid w:val="00B45C1C"/>
    <w:rsid w:val="00B46752"/>
    <w:rsid w:val="00B471B0"/>
    <w:rsid w:val="00B573B1"/>
    <w:rsid w:val="00B63950"/>
    <w:rsid w:val="00B65785"/>
    <w:rsid w:val="00B71019"/>
    <w:rsid w:val="00B826AF"/>
    <w:rsid w:val="00B84D78"/>
    <w:rsid w:val="00B96B92"/>
    <w:rsid w:val="00B978CA"/>
    <w:rsid w:val="00BA3075"/>
    <w:rsid w:val="00BA3A32"/>
    <w:rsid w:val="00BA7C88"/>
    <w:rsid w:val="00BB3B79"/>
    <w:rsid w:val="00BB53E6"/>
    <w:rsid w:val="00BB5CF3"/>
    <w:rsid w:val="00BC512C"/>
    <w:rsid w:val="00BC609E"/>
    <w:rsid w:val="00BD62C8"/>
    <w:rsid w:val="00BE39D0"/>
    <w:rsid w:val="00BF00DF"/>
    <w:rsid w:val="00BF03F6"/>
    <w:rsid w:val="00BF1D96"/>
    <w:rsid w:val="00BF52A9"/>
    <w:rsid w:val="00C03071"/>
    <w:rsid w:val="00C0346D"/>
    <w:rsid w:val="00C05223"/>
    <w:rsid w:val="00C11C98"/>
    <w:rsid w:val="00C14192"/>
    <w:rsid w:val="00C149EE"/>
    <w:rsid w:val="00C15809"/>
    <w:rsid w:val="00C1697B"/>
    <w:rsid w:val="00C229D6"/>
    <w:rsid w:val="00C23008"/>
    <w:rsid w:val="00C251DE"/>
    <w:rsid w:val="00C26FFF"/>
    <w:rsid w:val="00C3686F"/>
    <w:rsid w:val="00C407F0"/>
    <w:rsid w:val="00C420DC"/>
    <w:rsid w:val="00C4323D"/>
    <w:rsid w:val="00C476A7"/>
    <w:rsid w:val="00C479F1"/>
    <w:rsid w:val="00C50A14"/>
    <w:rsid w:val="00C51418"/>
    <w:rsid w:val="00C5493B"/>
    <w:rsid w:val="00C57DBD"/>
    <w:rsid w:val="00C6434E"/>
    <w:rsid w:val="00C671F1"/>
    <w:rsid w:val="00C70152"/>
    <w:rsid w:val="00C712E0"/>
    <w:rsid w:val="00C72807"/>
    <w:rsid w:val="00C776A0"/>
    <w:rsid w:val="00C77FF5"/>
    <w:rsid w:val="00C851E9"/>
    <w:rsid w:val="00C86A6D"/>
    <w:rsid w:val="00C86B2A"/>
    <w:rsid w:val="00C92ABA"/>
    <w:rsid w:val="00C93390"/>
    <w:rsid w:val="00C962E2"/>
    <w:rsid w:val="00C96332"/>
    <w:rsid w:val="00CA142A"/>
    <w:rsid w:val="00CA672C"/>
    <w:rsid w:val="00CA6DCA"/>
    <w:rsid w:val="00CB0267"/>
    <w:rsid w:val="00CD131B"/>
    <w:rsid w:val="00CD47B0"/>
    <w:rsid w:val="00CE0EAD"/>
    <w:rsid w:val="00CE2DFE"/>
    <w:rsid w:val="00CF1965"/>
    <w:rsid w:val="00CF6132"/>
    <w:rsid w:val="00D04234"/>
    <w:rsid w:val="00D054D3"/>
    <w:rsid w:val="00D14BA0"/>
    <w:rsid w:val="00D27F7B"/>
    <w:rsid w:val="00D37BAC"/>
    <w:rsid w:val="00D43A83"/>
    <w:rsid w:val="00D44127"/>
    <w:rsid w:val="00D4641B"/>
    <w:rsid w:val="00D509CC"/>
    <w:rsid w:val="00D5640D"/>
    <w:rsid w:val="00D573F6"/>
    <w:rsid w:val="00D63E7A"/>
    <w:rsid w:val="00D72A67"/>
    <w:rsid w:val="00D76015"/>
    <w:rsid w:val="00D81254"/>
    <w:rsid w:val="00D867A9"/>
    <w:rsid w:val="00D94180"/>
    <w:rsid w:val="00D95372"/>
    <w:rsid w:val="00DA0D36"/>
    <w:rsid w:val="00DA1B21"/>
    <w:rsid w:val="00DA2408"/>
    <w:rsid w:val="00DA6909"/>
    <w:rsid w:val="00DB0E92"/>
    <w:rsid w:val="00DB48E5"/>
    <w:rsid w:val="00DB57D5"/>
    <w:rsid w:val="00DC100C"/>
    <w:rsid w:val="00DD09D5"/>
    <w:rsid w:val="00DD5916"/>
    <w:rsid w:val="00DE026F"/>
    <w:rsid w:val="00DE1306"/>
    <w:rsid w:val="00DE2C70"/>
    <w:rsid w:val="00DE5B12"/>
    <w:rsid w:val="00E03EA0"/>
    <w:rsid w:val="00E04996"/>
    <w:rsid w:val="00E07575"/>
    <w:rsid w:val="00E0790C"/>
    <w:rsid w:val="00E1502E"/>
    <w:rsid w:val="00E1628F"/>
    <w:rsid w:val="00E25086"/>
    <w:rsid w:val="00E3795C"/>
    <w:rsid w:val="00E37C3C"/>
    <w:rsid w:val="00E40E83"/>
    <w:rsid w:val="00E4276F"/>
    <w:rsid w:val="00E434C8"/>
    <w:rsid w:val="00E43DA4"/>
    <w:rsid w:val="00E5606D"/>
    <w:rsid w:val="00E561BF"/>
    <w:rsid w:val="00E67373"/>
    <w:rsid w:val="00E676C3"/>
    <w:rsid w:val="00E7187A"/>
    <w:rsid w:val="00E72209"/>
    <w:rsid w:val="00E757D7"/>
    <w:rsid w:val="00E76615"/>
    <w:rsid w:val="00E8137B"/>
    <w:rsid w:val="00E856B6"/>
    <w:rsid w:val="00E91B5F"/>
    <w:rsid w:val="00E95B56"/>
    <w:rsid w:val="00EA185B"/>
    <w:rsid w:val="00EA5163"/>
    <w:rsid w:val="00EB0575"/>
    <w:rsid w:val="00EB0CFC"/>
    <w:rsid w:val="00EB3300"/>
    <w:rsid w:val="00EB632D"/>
    <w:rsid w:val="00EB6E4C"/>
    <w:rsid w:val="00EC15DC"/>
    <w:rsid w:val="00EC2508"/>
    <w:rsid w:val="00EC5FC3"/>
    <w:rsid w:val="00EC6C54"/>
    <w:rsid w:val="00ED2B30"/>
    <w:rsid w:val="00F001F4"/>
    <w:rsid w:val="00F01CE3"/>
    <w:rsid w:val="00F022B7"/>
    <w:rsid w:val="00F05427"/>
    <w:rsid w:val="00F103E3"/>
    <w:rsid w:val="00F12427"/>
    <w:rsid w:val="00F12DD4"/>
    <w:rsid w:val="00F23B6C"/>
    <w:rsid w:val="00F250E7"/>
    <w:rsid w:val="00F30A86"/>
    <w:rsid w:val="00F33CF5"/>
    <w:rsid w:val="00F36C4E"/>
    <w:rsid w:val="00F410D4"/>
    <w:rsid w:val="00F4475B"/>
    <w:rsid w:val="00F45BE4"/>
    <w:rsid w:val="00F51896"/>
    <w:rsid w:val="00F5302C"/>
    <w:rsid w:val="00F55CC3"/>
    <w:rsid w:val="00F618CC"/>
    <w:rsid w:val="00F634F5"/>
    <w:rsid w:val="00F747AD"/>
    <w:rsid w:val="00F801B5"/>
    <w:rsid w:val="00F861BC"/>
    <w:rsid w:val="00F95AC3"/>
    <w:rsid w:val="00FA3CDF"/>
    <w:rsid w:val="00FB3159"/>
    <w:rsid w:val="00FC4667"/>
    <w:rsid w:val="00FD4C37"/>
    <w:rsid w:val="00FD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41B79"/>
  <w15:chartTrackingRefBased/>
  <w15:docId w15:val="{2C13F54D-D007-4646-B39F-029AB3F9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1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A01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A01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01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01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01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01BD"/>
    <w:pPr>
      <w:outlineLvl w:val="5"/>
    </w:pPr>
  </w:style>
  <w:style w:type="paragraph" w:styleId="Heading7">
    <w:name w:val="heading 7"/>
    <w:basedOn w:val="H6"/>
    <w:next w:val="Normal"/>
    <w:qFormat/>
    <w:rsid w:val="005A01BD"/>
    <w:pPr>
      <w:outlineLvl w:val="6"/>
    </w:pPr>
  </w:style>
  <w:style w:type="paragraph" w:styleId="Heading8">
    <w:name w:val="heading 8"/>
    <w:basedOn w:val="Heading1"/>
    <w:next w:val="Normal"/>
    <w:qFormat/>
    <w:rsid w:val="005A01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01BD"/>
    <w:pPr>
      <w:outlineLvl w:val="8"/>
    </w:pPr>
  </w:style>
  <w:style w:type="character" w:default="1" w:styleId="DefaultParagraphFont">
    <w:name w:val="Default Paragraph Font"/>
    <w:semiHidden/>
    <w:rsid w:val="005A01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01BD"/>
  </w:style>
  <w:style w:type="paragraph" w:styleId="TOC8">
    <w:name w:val="toc 8"/>
    <w:basedOn w:val="TOC1"/>
    <w:semiHidden/>
    <w:rsid w:val="005A01BD"/>
    <w:pPr>
      <w:spacing w:before="180"/>
      <w:ind w:left="2693" w:hanging="2693"/>
    </w:pPr>
    <w:rPr>
      <w:b/>
    </w:rPr>
  </w:style>
  <w:style w:type="paragraph" w:styleId="TOC1">
    <w:name w:val="toc 1"/>
    <w:semiHidden/>
    <w:rsid w:val="005A01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A01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A01BD"/>
    <w:pPr>
      <w:ind w:left="1701" w:hanging="1701"/>
    </w:pPr>
  </w:style>
  <w:style w:type="paragraph" w:styleId="TOC4">
    <w:name w:val="toc 4"/>
    <w:basedOn w:val="TOC3"/>
    <w:semiHidden/>
    <w:rsid w:val="005A01BD"/>
    <w:pPr>
      <w:ind w:left="1418" w:hanging="1418"/>
    </w:pPr>
  </w:style>
  <w:style w:type="paragraph" w:styleId="TOC3">
    <w:name w:val="toc 3"/>
    <w:basedOn w:val="TOC2"/>
    <w:semiHidden/>
    <w:rsid w:val="005A01BD"/>
    <w:pPr>
      <w:ind w:left="1134" w:hanging="1134"/>
    </w:pPr>
  </w:style>
  <w:style w:type="paragraph" w:styleId="TOC2">
    <w:name w:val="toc 2"/>
    <w:basedOn w:val="TOC1"/>
    <w:semiHidden/>
    <w:rsid w:val="005A01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01BD"/>
    <w:pPr>
      <w:ind w:left="284"/>
    </w:pPr>
  </w:style>
  <w:style w:type="paragraph" w:styleId="Index1">
    <w:name w:val="index 1"/>
    <w:basedOn w:val="Normal"/>
    <w:semiHidden/>
    <w:rsid w:val="005A01BD"/>
    <w:pPr>
      <w:keepLines/>
      <w:spacing w:after="0"/>
    </w:pPr>
  </w:style>
  <w:style w:type="paragraph" w:customStyle="1" w:styleId="ZH">
    <w:name w:val="ZH"/>
    <w:rsid w:val="005A01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A01BD"/>
    <w:pPr>
      <w:outlineLvl w:val="9"/>
    </w:pPr>
  </w:style>
  <w:style w:type="paragraph" w:styleId="ListNumber2">
    <w:name w:val="List Number 2"/>
    <w:basedOn w:val="ListNumber"/>
    <w:semiHidden/>
    <w:rsid w:val="005A01BD"/>
    <w:pPr>
      <w:ind w:left="851"/>
    </w:pPr>
  </w:style>
  <w:style w:type="paragraph" w:styleId="Header">
    <w:name w:val="header"/>
    <w:semiHidden/>
    <w:rsid w:val="005A01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A01BD"/>
    <w:rPr>
      <w:b/>
      <w:position w:val="6"/>
      <w:sz w:val="16"/>
    </w:rPr>
  </w:style>
  <w:style w:type="paragraph" w:styleId="FootnoteText">
    <w:name w:val="footnote text"/>
    <w:basedOn w:val="Normal"/>
    <w:semiHidden/>
    <w:rsid w:val="005A01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A01BD"/>
    <w:rPr>
      <w:b/>
    </w:rPr>
  </w:style>
  <w:style w:type="paragraph" w:customStyle="1" w:styleId="TAC">
    <w:name w:val="TAC"/>
    <w:basedOn w:val="TAL"/>
    <w:rsid w:val="005A01BD"/>
    <w:pPr>
      <w:jc w:val="center"/>
    </w:pPr>
  </w:style>
  <w:style w:type="paragraph" w:customStyle="1" w:styleId="TF">
    <w:name w:val="TF"/>
    <w:basedOn w:val="TH"/>
    <w:rsid w:val="005A01BD"/>
    <w:pPr>
      <w:keepNext w:val="0"/>
      <w:spacing w:before="0" w:after="240"/>
    </w:pPr>
  </w:style>
  <w:style w:type="paragraph" w:customStyle="1" w:styleId="NO">
    <w:name w:val="NO"/>
    <w:basedOn w:val="Normal"/>
    <w:rsid w:val="005A01BD"/>
    <w:pPr>
      <w:keepLines/>
      <w:ind w:left="1135" w:hanging="851"/>
    </w:pPr>
  </w:style>
  <w:style w:type="paragraph" w:styleId="TOC9">
    <w:name w:val="toc 9"/>
    <w:basedOn w:val="TOC8"/>
    <w:semiHidden/>
    <w:rsid w:val="005A01BD"/>
    <w:pPr>
      <w:ind w:left="1418" w:hanging="1418"/>
    </w:pPr>
  </w:style>
  <w:style w:type="paragraph" w:customStyle="1" w:styleId="EX">
    <w:name w:val="EX"/>
    <w:basedOn w:val="Normal"/>
    <w:rsid w:val="005A01BD"/>
    <w:pPr>
      <w:keepLines/>
      <w:ind w:left="1702" w:hanging="1418"/>
    </w:pPr>
  </w:style>
  <w:style w:type="paragraph" w:customStyle="1" w:styleId="FP">
    <w:name w:val="FP"/>
    <w:basedOn w:val="Normal"/>
    <w:rsid w:val="005A01BD"/>
    <w:pPr>
      <w:spacing w:after="0"/>
    </w:pPr>
  </w:style>
  <w:style w:type="paragraph" w:customStyle="1" w:styleId="LD">
    <w:name w:val="LD"/>
    <w:rsid w:val="005A01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A01BD"/>
    <w:pPr>
      <w:spacing w:after="0"/>
    </w:pPr>
  </w:style>
  <w:style w:type="paragraph" w:customStyle="1" w:styleId="EW">
    <w:name w:val="EW"/>
    <w:basedOn w:val="EX"/>
    <w:rsid w:val="005A01BD"/>
    <w:pPr>
      <w:spacing w:after="0"/>
    </w:pPr>
  </w:style>
  <w:style w:type="paragraph" w:styleId="TOC6">
    <w:name w:val="toc 6"/>
    <w:basedOn w:val="TOC5"/>
    <w:next w:val="Normal"/>
    <w:semiHidden/>
    <w:rsid w:val="005A01BD"/>
    <w:pPr>
      <w:ind w:left="1985" w:hanging="1985"/>
    </w:pPr>
  </w:style>
  <w:style w:type="paragraph" w:styleId="TOC7">
    <w:name w:val="toc 7"/>
    <w:basedOn w:val="TOC6"/>
    <w:next w:val="Normal"/>
    <w:semiHidden/>
    <w:rsid w:val="005A01BD"/>
    <w:pPr>
      <w:ind w:left="2268" w:hanging="2268"/>
    </w:pPr>
  </w:style>
  <w:style w:type="paragraph" w:styleId="ListBullet2">
    <w:name w:val="List Bullet 2"/>
    <w:basedOn w:val="ListBullet"/>
    <w:semiHidden/>
    <w:rsid w:val="005A01BD"/>
    <w:pPr>
      <w:ind w:left="851"/>
    </w:pPr>
  </w:style>
  <w:style w:type="paragraph" w:styleId="ListBullet3">
    <w:name w:val="List Bullet 3"/>
    <w:basedOn w:val="ListBullet2"/>
    <w:semiHidden/>
    <w:rsid w:val="005A01BD"/>
    <w:pPr>
      <w:ind w:left="1135"/>
    </w:pPr>
  </w:style>
  <w:style w:type="paragraph" w:styleId="ListNumber">
    <w:name w:val="List Number"/>
    <w:basedOn w:val="List"/>
    <w:semiHidden/>
    <w:rsid w:val="005A01BD"/>
  </w:style>
  <w:style w:type="paragraph" w:customStyle="1" w:styleId="EQ">
    <w:name w:val="EQ"/>
    <w:basedOn w:val="Normal"/>
    <w:next w:val="Normal"/>
    <w:rsid w:val="005A01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01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01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01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01BD"/>
    <w:pPr>
      <w:jc w:val="right"/>
    </w:pPr>
  </w:style>
  <w:style w:type="paragraph" w:customStyle="1" w:styleId="H6">
    <w:name w:val="H6"/>
    <w:basedOn w:val="Heading5"/>
    <w:next w:val="Normal"/>
    <w:rsid w:val="005A01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01BD"/>
    <w:pPr>
      <w:ind w:left="851" w:hanging="851"/>
    </w:pPr>
  </w:style>
  <w:style w:type="paragraph" w:customStyle="1" w:styleId="TAL">
    <w:name w:val="TAL"/>
    <w:basedOn w:val="Normal"/>
    <w:rsid w:val="005A01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01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01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A01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A01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A01BD"/>
    <w:pPr>
      <w:framePr w:wrap="notBeside" w:y="16161"/>
    </w:pPr>
  </w:style>
  <w:style w:type="character" w:customStyle="1" w:styleId="ZGSM">
    <w:name w:val="ZGSM"/>
    <w:rsid w:val="005A01BD"/>
  </w:style>
  <w:style w:type="paragraph" w:styleId="List2">
    <w:name w:val="List 2"/>
    <w:basedOn w:val="List"/>
    <w:semiHidden/>
    <w:rsid w:val="005A01BD"/>
    <w:pPr>
      <w:ind w:left="851"/>
    </w:pPr>
  </w:style>
  <w:style w:type="paragraph" w:customStyle="1" w:styleId="ZG">
    <w:name w:val="ZG"/>
    <w:rsid w:val="005A01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A01BD"/>
    <w:pPr>
      <w:ind w:left="1135"/>
    </w:pPr>
  </w:style>
  <w:style w:type="paragraph" w:styleId="List4">
    <w:name w:val="List 4"/>
    <w:basedOn w:val="List3"/>
    <w:semiHidden/>
    <w:rsid w:val="005A01BD"/>
    <w:pPr>
      <w:ind w:left="1418"/>
    </w:pPr>
  </w:style>
  <w:style w:type="paragraph" w:styleId="List5">
    <w:name w:val="List 5"/>
    <w:basedOn w:val="List4"/>
    <w:semiHidden/>
    <w:rsid w:val="005A01BD"/>
    <w:pPr>
      <w:ind w:left="1702"/>
    </w:pPr>
  </w:style>
  <w:style w:type="paragraph" w:customStyle="1" w:styleId="EditorsNote">
    <w:name w:val="Editor's Note"/>
    <w:basedOn w:val="NO"/>
    <w:rsid w:val="005A01BD"/>
    <w:rPr>
      <w:color w:val="FF0000"/>
    </w:rPr>
  </w:style>
  <w:style w:type="paragraph" w:styleId="List">
    <w:name w:val="List"/>
    <w:basedOn w:val="Normal"/>
    <w:semiHidden/>
    <w:rsid w:val="005A01BD"/>
    <w:pPr>
      <w:ind w:left="568" w:hanging="284"/>
    </w:pPr>
  </w:style>
  <w:style w:type="paragraph" w:styleId="ListBullet">
    <w:name w:val="List Bullet"/>
    <w:basedOn w:val="List"/>
    <w:semiHidden/>
    <w:rsid w:val="005A01BD"/>
  </w:style>
  <w:style w:type="paragraph" w:styleId="ListBullet4">
    <w:name w:val="List Bullet 4"/>
    <w:basedOn w:val="ListBullet3"/>
    <w:semiHidden/>
    <w:rsid w:val="005A01BD"/>
    <w:pPr>
      <w:ind w:left="1418"/>
    </w:pPr>
  </w:style>
  <w:style w:type="paragraph" w:styleId="ListBullet5">
    <w:name w:val="List Bullet 5"/>
    <w:basedOn w:val="ListBullet4"/>
    <w:semiHidden/>
    <w:rsid w:val="005A01BD"/>
    <w:pPr>
      <w:ind w:left="1702"/>
    </w:pPr>
  </w:style>
  <w:style w:type="paragraph" w:customStyle="1" w:styleId="B1">
    <w:name w:val="B1"/>
    <w:basedOn w:val="List"/>
    <w:rsid w:val="005A01BD"/>
  </w:style>
  <w:style w:type="paragraph" w:customStyle="1" w:styleId="B2">
    <w:name w:val="B2"/>
    <w:basedOn w:val="List2"/>
    <w:rsid w:val="005A01BD"/>
  </w:style>
  <w:style w:type="paragraph" w:customStyle="1" w:styleId="B3">
    <w:name w:val="B3"/>
    <w:basedOn w:val="List3"/>
    <w:rsid w:val="005A01BD"/>
  </w:style>
  <w:style w:type="paragraph" w:customStyle="1" w:styleId="B4">
    <w:name w:val="B4"/>
    <w:basedOn w:val="List4"/>
    <w:rsid w:val="005A01BD"/>
  </w:style>
  <w:style w:type="paragraph" w:customStyle="1" w:styleId="B5">
    <w:name w:val="B5"/>
    <w:basedOn w:val="List5"/>
    <w:rsid w:val="005A01BD"/>
  </w:style>
  <w:style w:type="paragraph" w:styleId="Footer">
    <w:name w:val="footer"/>
    <w:basedOn w:val="Header"/>
    <w:semiHidden/>
    <w:rsid w:val="005A01BD"/>
    <w:pPr>
      <w:jc w:val="center"/>
    </w:pPr>
    <w:rPr>
      <w:i/>
    </w:rPr>
  </w:style>
  <w:style w:type="paragraph" w:customStyle="1" w:styleId="ZTD">
    <w:name w:val="ZTD"/>
    <w:basedOn w:val="ZB"/>
    <w:rsid w:val="005A01BD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806EAC"/>
    <w:rPr>
      <w:b/>
      <w:bCs/>
    </w:rPr>
  </w:style>
  <w:style w:type="character" w:styleId="BookTitle">
    <w:name w:val="Book Title"/>
    <w:basedOn w:val="DefaultParagraphFont"/>
    <w:uiPriority w:val="33"/>
    <w:qFormat/>
    <w:rsid w:val="00806EAC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806EAC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806EAC"/>
    <w:rPr>
      <w:b/>
      <w:bCs/>
      <w:smallCaps/>
      <w:color w:val="4472C4" w:themeColor="accent1"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2B4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6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46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77181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4F4239"/>
    <w:rPr>
      <w:i/>
      <w:iCs/>
      <w:color w:val="4472C4" w:themeColor="accent1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349E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7D57E3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8051F8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6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C9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05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do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A57EE-DC04-4D9E-8C31-DD0E892B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13168</TotalTime>
  <Pages>5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Luca Blessent</dc:creator>
  <cp:keywords>ESA, style sheet, Winword</cp:keywords>
  <dc:description/>
  <cp:lastModifiedBy>Luca Blessent</cp:lastModifiedBy>
  <cp:revision>365</cp:revision>
  <cp:lastPrinted>1900-01-01T05:00:00Z</cp:lastPrinted>
  <dcterms:created xsi:type="dcterms:W3CDTF">2019-08-14T14:40:00Z</dcterms:created>
  <dcterms:modified xsi:type="dcterms:W3CDTF">2020-08-08T00:00:00Z</dcterms:modified>
</cp:coreProperties>
</file>